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16AF" w:rsidRPr="000B4DFE" w:rsidRDefault="001E16AF" w:rsidP="001E16AF">
      <w:pPr>
        <w:jc w:val="center"/>
        <w:rPr>
          <w:rFonts w:asciiTheme="minorHAnsi" w:hAnsiTheme="minorHAnsi" w:cstheme="minorHAnsi"/>
          <w:sz w:val="24"/>
        </w:rPr>
      </w:pPr>
      <w:r w:rsidRPr="000B4DFE">
        <w:rPr>
          <w:rFonts w:asciiTheme="minorHAnsi" w:hAnsiTheme="minorHAnsi" w:cstheme="minorHAnsi"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162550" cy="1404620"/>
                <wp:effectExtent l="0" t="0" r="1905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6AF" w:rsidRPr="00904526" w:rsidRDefault="00D3106F" w:rsidP="00B267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90452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CR</w:t>
                            </w:r>
                            <w:r w:rsidR="00C71D1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90452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</w:t>
                            </w:r>
                            <w:r w:rsidR="00904526" w:rsidRPr="0090452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vertAlign w:val="superscript"/>
                              </w:rPr>
                              <w:t>ère</w:t>
                            </w:r>
                            <w:r w:rsidR="0090452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réunion </w:t>
                            </w:r>
                            <w:r w:rsidR="001E16AF" w:rsidRPr="0090452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NAO </w:t>
                            </w:r>
                            <w:r w:rsidR="00C71D1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« Bilan Statistiques »</w:t>
                            </w:r>
                          </w:p>
                          <w:p w:rsidR="001E16AF" w:rsidRPr="00904526" w:rsidRDefault="001E16AF" w:rsidP="00B267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90452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</w:t>
                            </w:r>
                            <w:r w:rsidR="00C71D1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8</w:t>
                            </w:r>
                            <w:r w:rsidRPr="0090452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janvier 202</w:t>
                            </w:r>
                            <w:r w:rsidR="00C71D1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5.3pt;margin-top:14.55pt;width:40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">
                <v:textbox style="mso-fit-shape-to-text:t">
                  <w:txbxContent>
                    <w:p w:rsidR="001E16AF" w:rsidRPr="00904526" w:rsidRDefault="00D3106F" w:rsidP="00B267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  <w:r w:rsidRPr="00904526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CR</w:t>
                      </w:r>
                      <w:r w:rsidR="00C71D19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 </w:t>
                      </w:r>
                      <w:r w:rsidR="00904526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1</w:t>
                      </w:r>
                      <w:r w:rsidR="00904526" w:rsidRPr="00904526">
                        <w:rPr>
                          <w:rFonts w:asciiTheme="minorHAnsi" w:hAnsiTheme="minorHAnsi" w:cstheme="minorHAnsi"/>
                          <w:b/>
                          <w:sz w:val="32"/>
                          <w:vertAlign w:val="superscript"/>
                        </w:rPr>
                        <w:t>ère</w:t>
                      </w:r>
                      <w:r w:rsidR="00904526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 réunion </w:t>
                      </w:r>
                      <w:r w:rsidR="001E16AF" w:rsidRPr="00904526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NAO </w:t>
                      </w:r>
                      <w:r w:rsidR="00C71D19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« Bilan Statistiques »</w:t>
                      </w:r>
                    </w:p>
                    <w:p w:rsidR="001E16AF" w:rsidRPr="00904526" w:rsidRDefault="001E16AF" w:rsidP="00B267FF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904526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1</w:t>
                      </w:r>
                      <w:r w:rsidR="00C71D19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8</w:t>
                      </w:r>
                      <w:r w:rsidRPr="00904526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 janvier 202</w:t>
                      </w:r>
                      <w:r w:rsidR="00C71D19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5F66" w:rsidRDefault="00954C07" w:rsidP="00C71D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La CGT a</w:t>
      </w:r>
      <w:r w:rsidR="0087507F" w:rsidRPr="000B4DFE">
        <w:rPr>
          <w:rFonts w:asciiTheme="minorHAnsi" w:hAnsiTheme="minorHAnsi" w:cstheme="minorHAnsi"/>
          <w:sz w:val="24"/>
        </w:rPr>
        <w:t xml:space="preserve"> assisté </w:t>
      </w:r>
      <w:r w:rsidR="0004581A">
        <w:rPr>
          <w:rFonts w:asciiTheme="minorHAnsi" w:hAnsiTheme="minorHAnsi" w:cstheme="minorHAnsi"/>
          <w:sz w:val="24"/>
        </w:rPr>
        <w:t xml:space="preserve">jeudi 18 janvier </w:t>
      </w:r>
      <w:r w:rsidR="0087507F" w:rsidRPr="000B4DFE">
        <w:rPr>
          <w:rFonts w:asciiTheme="minorHAnsi" w:hAnsiTheme="minorHAnsi" w:cstheme="minorHAnsi"/>
          <w:sz w:val="24"/>
        </w:rPr>
        <w:t>à la première réunion NAO concernant le</w:t>
      </w:r>
      <w:r w:rsidR="00C71D19">
        <w:rPr>
          <w:rFonts w:asciiTheme="minorHAnsi" w:hAnsiTheme="minorHAnsi" w:cstheme="minorHAnsi"/>
          <w:sz w:val="24"/>
        </w:rPr>
        <w:t xml:space="preserve"> Bila</w:t>
      </w:r>
      <w:r w:rsidR="003D5F66">
        <w:rPr>
          <w:rFonts w:asciiTheme="minorHAnsi" w:hAnsiTheme="minorHAnsi" w:cstheme="minorHAnsi"/>
          <w:sz w:val="24"/>
        </w:rPr>
        <w:t>n</w:t>
      </w:r>
      <w:r w:rsidR="00C71D19">
        <w:rPr>
          <w:rFonts w:asciiTheme="minorHAnsi" w:hAnsiTheme="minorHAnsi" w:cstheme="minorHAnsi"/>
          <w:sz w:val="24"/>
        </w:rPr>
        <w:t xml:space="preserve"> statistiques </w:t>
      </w:r>
      <w:r w:rsidR="0087507F" w:rsidRPr="000B4DFE">
        <w:rPr>
          <w:rFonts w:asciiTheme="minorHAnsi" w:hAnsiTheme="minorHAnsi" w:cstheme="minorHAnsi"/>
          <w:sz w:val="24"/>
        </w:rPr>
        <w:t>de l’année 2023.</w:t>
      </w:r>
      <w:r w:rsidR="000A6EB1">
        <w:rPr>
          <w:rFonts w:asciiTheme="minorHAnsi" w:hAnsiTheme="minorHAnsi" w:cstheme="minorHAnsi"/>
          <w:sz w:val="24"/>
        </w:rPr>
        <w:t xml:space="preserve"> </w:t>
      </w:r>
      <w:r w:rsidR="0087507F" w:rsidRPr="000B4DFE">
        <w:rPr>
          <w:rFonts w:asciiTheme="minorHAnsi" w:hAnsiTheme="minorHAnsi" w:cstheme="minorHAnsi"/>
          <w:sz w:val="24"/>
        </w:rPr>
        <w:t>Suite à la déclaration CGT, l</w:t>
      </w:r>
      <w:r w:rsidR="00D3106F" w:rsidRPr="000B4DFE">
        <w:rPr>
          <w:rFonts w:asciiTheme="minorHAnsi" w:hAnsiTheme="minorHAnsi" w:cstheme="minorHAnsi"/>
          <w:sz w:val="24"/>
        </w:rPr>
        <w:t xml:space="preserve">a DRH </w:t>
      </w:r>
      <w:r w:rsidR="0087507F" w:rsidRPr="000B4DFE">
        <w:rPr>
          <w:rFonts w:asciiTheme="minorHAnsi" w:hAnsiTheme="minorHAnsi" w:cstheme="minorHAnsi"/>
          <w:sz w:val="24"/>
        </w:rPr>
        <w:t xml:space="preserve">nous affirme </w:t>
      </w:r>
      <w:r w:rsidR="00D3106F" w:rsidRPr="000B4DFE">
        <w:rPr>
          <w:rFonts w:asciiTheme="minorHAnsi" w:hAnsiTheme="minorHAnsi" w:cstheme="minorHAnsi"/>
          <w:sz w:val="24"/>
        </w:rPr>
        <w:t>comprend</w:t>
      </w:r>
      <w:r w:rsidR="0087507F" w:rsidRPr="000B4DFE">
        <w:rPr>
          <w:rFonts w:asciiTheme="minorHAnsi" w:hAnsiTheme="minorHAnsi" w:cstheme="minorHAnsi"/>
          <w:sz w:val="24"/>
        </w:rPr>
        <w:t>re</w:t>
      </w:r>
      <w:r w:rsidR="00D3106F" w:rsidRPr="000B4DFE">
        <w:rPr>
          <w:rFonts w:asciiTheme="minorHAnsi" w:hAnsiTheme="minorHAnsi" w:cstheme="minorHAnsi"/>
          <w:sz w:val="24"/>
        </w:rPr>
        <w:t xml:space="preserve"> l’attente des salariés</w:t>
      </w:r>
      <w:r w:rsidR="000A6EB1">
        <w:rPr>
          <w:rFonts w:asciiTheme="minorHAnsi" w:hAnsiTheme="minorHAnsi" w:cstheme="minorHAnsi"/>
          <w:sz w:val="24"/>
        </w:rPr>
        <w:t>.</w:t>
      </w:r>
      <w:r w:rsidR="00D42648">
        <w:rPr>
          <w:rFonts w:asciiTheme="minorHAnsi" w:hAnsiTheme="minorHAnsi" w:cstheme="minorHAnsi"/>
          <w:sz w:val="24"/>
        </w:rPr>
        <w:t xml:space="preserve"> Néanmoins, </w:t>
      </w:r>
      <w:r w:rsidR="003D5F66">
        <w:rPr>
          <w:rFonts w:asciiTheme="minorHAnsi" w:hAnsiTheme="minorHAnsi" w:cstheme="minorHAnsi"/>
          <w:sz w:val="24"/>
        </w:rPr>
        <w:t>les premières propositions de la DG  seront présentées lors de la réunion « Salaires »</w:t>
      </w:r>
      <w:r>
        <w:rPr>
          <w:rFonts w:asciiTheme="minorHAnsi" w:hAnsiTheme="minorHAnsi" w:cstheme="minorHAnsi"/>
          <w:sz w:val="24"/>
        </w:rPr>
        <w:t xml:space="preserve"> qui se déroulera le</w:t>
      </w:r>
      <w:r w:rsidR="003D5F66">
        <w:rPr>
          <w:rFonts w:asciiTheme="minorHAnsi" w:hAnsiTheme="minorHAnsi" w:cstheme="minorHAnsi"/>
          <w:sz w:val="24"/>
        </w:rPr>
        <w:t xml:space="preserve"> 13 février prochain.</w:t>
      </w:r>
    </w:p>
    <w:p w:rsidR="003D5F66" w:rsidRPr="00AA3551" w:rsidRDefault="003D5F66" w:rsidP="00C71D1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7507F" w:rsidRPr="000B4DFE" w:rsidRDefault="00C71D19" w:rsidP="00C71D19">
      <w:pPr>
        <w:jc w:val="both"/>
        <w:rPr>
          <w:rFonts w:asciiTheme="minorHAnsi" w:hAnsiTheme="minorHAnsi" w:cstheme="minorHAnsi"/>
          <w:b/>
          <w:i/>
          <w:sz w:val="24"/>
          <w:u w:val="single"/>
        </w:rPr>
      </w:pPr>
      <w:r>
        <w:rPr>
          <w:rFonts w:asciiTheme="minorHAnsi" w:hAnsiTheme="minorHAnsi" w:cstheme="minorHAnsi"/>
          <w:b/>
          <w:i/>
          <w:sz w:val="24"/>
          <w:u w:val="single"/>
        </w:rPr>
        <w:t>E</w:t>
      </w:r>
      <w:r w:rsidR="00704BEC" w:rsidRPr="000B4DFE">
        <w:rPr>
          <w:rFonts w:asciiTheme="minorHAnsi" w:hAnsiTheme="minorHAnsi" w:cstheme="minorHAnsi"/>
          <w:b/>
          <w:i/>
          <w:sz w:val="24"/>
          <w:u w:val="single"/>
        </w:rPr>
        <w:t>ffectifs</w:t>
      </w:r>
    </w:p>
    <w:p w:rsidR="00A271BA" w:rsidRDefault="00492CC0" w:rsidP="00C71D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L’effectif société  a augmenté et nous sommes maintenant  9778 inscrits</w:t>
      </w:r>
      <w:r w:rsidR="00A271BA">
        <w:rPr>
          <w:rFonts w:asciiTheme="minorHAnsi" w:hAnsiTheme="minorHAnsi" w:cstheme="minorHAnsi"/>
          <w:sz w:val="24"/>
        </w:rPr>
        <w:t>, la barre des 10000 inscrits sera dépassé en 2024.</w:t>
      </w:r>
    </w:p>
    <w:p w:rsidR="00B3549E" w:rsidRDefault="00A271BA" w:rsidP="00C71D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1203 personnes ont été embauchées, 145 CDD , 167 Alternants et surtout 891</w:t>
      </w:r>
      <w:r w:rsidR="00B3549E">
        <w:rPr>
          <w:rFonts w:asciiTheme="minorHAnsi" w:hAnsiTheme="minorHAnsi" w:cstheme="minorHAnsi"/>
          <w:sz w:val="24"/>
        </w:rPr>
        <w:t xml:space="preserve"> CDI.</w:t>
      </w:r>
    </w:p>
    <w:p w:rsidR="00A271BA" w:rsidRDefault="00B3549E" w:rsidP="00C71D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</w:t>
      </w:r>
      <w:r w:rsidR="00A271BA">
        <w:rPr>
          <w:rFonts w:asciiTheme="minorHAnsi" w:hAnsiTheme="minorHAnsi" w:cstheme="minorHAnsi"/>
          <w:sz w:val="24"/>
        </w:rPr>
        <w:t xml:space="preserve">a </w:t>
      </w:r>
      <w:r w:rsidR="00AA3551">
        <w:rPr>
          <w:rFonts w:asciiTheme="minorHAnsi" w:hAnsiTheme="minorHAnsi" w:cstheme="minorHAnsi"/>
          <w:sz w:val="24"/>
        </w:rPr>
        <w:t>DG</w:t>
      </w:r>
      <w:r w:rsidR="00A271BA">
        <w:rPr>
          <w:rFonts w:asciiTheme="minorHAnsi" w:hAnsiTheme="minorHAnsi" w:cstheme="minorHAnsi"/>
          <w:sz w:val="24"/>
        </w:rPr>
        <w:t xml:space="preserve"> nous confirme que les embauches vont continuer en 2024 sans nous </w:t>
      </w:r>
      <w:r w:rsidR="00AA3551">
        <w:rPr>
          <w:rFonts w:asciiTheme="minorHAnsi" w:hAnsiTheme="minorHAnsi" w:cstheme="minorHAnsi"/>
          <w:sz w:val="24"/>
        </w:rPr>
        <w:t xml:space="preserve">en </w:t>
      </w:r>
      <w:r w:rsidR="00A271BA">
        <w:rPr>
          <w:rFonts w:asciiTheme="minorHAnsi" w:hAnsiTheme="minorHAnsi" w:cstheme="minorHAnsi"/>
          <w:sz w:val="24"/>
        </w:rPr>
        <w:t>préciser le rythme.</w:t>
      </w:r>
    </w:p>
    <w:p w:rsidR="00AA3551" w:rsidRPr="00AA3551" w:rsidRDefault="00AA3551" w:rsidP="00C71D1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D5F66" w:rsidRDefault="00A271BA" w:rsidP="00C71D19">
      <w:pPr>
        <w:jc w:val="both"/>
        <w:rPr>
          <w:rFonts w:asciiTheme="minorHAnsi" w:hAnsiTheme="minorHAnsi" w:cstheme="minorHAnsi"/>
          <w:b/>
          <w:i/>
          <w:sz w:val="24"/>
          <w:u w:val="single"/>
        </w:rPr>
      </w:pPr>
      <w:r w:rsidRPr="00A271BA">
        <w:rPr>
          <w:rFonts w:asciiTheme="minorHAnsi" w:hAnsiTheme="minorHAnsi" w:cstheme="minorHAnsi"/>
          <w:b/>
          <w:i/>
          <w:sz w:val="24"/>
          <w:u w:val="single"/>
        </w:rPr>
        <w:t>Départ</w:t>
      </w:r>
      <w:r w:rsidR="00492CC0" w:rsidRPr="00A271BA">
        <w:rPr>
          <w:rFonts w:asciiTheme="minorHAnsi" w:hAnsiTheme="minorHAnsi" w:cstheme="minorHAnsi"/>
          <w:b/>
          <w:i/>
          <w:sz w:val="24"/>
          <w:u w:val="single"/>
        </w:rPr>
        <w:t xml:space="preserve"> </w:t>
      </w:r>
    </w:p>
    <w:p w:rsidR="00A271BA" w:rsidRDefault="00A271BA" w:rsidP="00C71D19">
      <w:pPr>
        <w:jc w:val="both"/>
        <w:rPr>
          <w:rFonts w:asciiTheme="minorHAnsi" w:hAnsiTheme="minorHAnsi" w:cstheme="minorHAnsi"/>
          <w:sz w:val="24"/>
        </w:rPr>
      </w:pPr>
      <w:r w:rsidRPr="00A271BA">
        <w:rPr>
          <w:rFonts w:asciiTheme="minorHAnsi" w:hAnsiTheme="minorHAnsi" w:cstheme="minorHAnsi"/>
          <w:sz w:val="24"/>
        </w:rPr>
        <w:t xml:space="preserve">625 personnes </w:t>
      </w:r>
      <w:r>
        <w:rPr>
          <w:rFonts w:asciiTheme="minorHAnsi" w:hAnsiTheme="minorHAnsi" w:cstheme="minorHAnsi"/>
          <w:sz w:val="24"/>
        </w:rPr>
        <w:t>ont quitté l’entreprise :</w:t>
      </w:r>
      <w:r w:rsidR="00852BD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216 salariés ont fait valoir leur droit à la retraite</w:t>
      </w:r>
      <w:r w:rsidR="00852BD0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24 ruptures conventionnelles</w:t>
      </w:r>
      <w:r w:rsidR="00852BD0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86 fin de CDD</w:t>
      </w:r>
      <w:r w:rsidR="00852BD0">
        <w:rPr>
          <w:rFonts w:asciiTheme="minorHAnsi" w:hAnsiTheme="minorHAnsi" w:cstheme="minorHAnsi"/>
          <w:sz w:val="24"/>
        </w:rPr>
        <w:t>, 113 fin d’apprentissage, 24 fin de période d’essai, 19 rupture de CDD et d’alternance, 25 licenciements individuel et 7 décès.</w:t>
      </w:r>
    </w:p>
    <w:p w:rsidR="0087507F" w:rsidRDefault="009A6AD5" w:rsidP="00C71D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 plus l</w:t>
      </w:r>
      <w:r w:rsidR="00852BD0">
        <w:rPr>
          <w:rFonts w:asciiTheme="minorHAnsi" w:hAnsiTheme="minorHAnsi" w:cstheme="minorHAnsi"/>
          <w:sz w:val="24"/>
        </w:rPr>
        <w:t>a CGT note que les démissions</w:t>
      </w:r>
      <w:r w:rsidR="00704BEC" w:rsidRPr="000B4DFE">
        <w:rPr>
          <w:rFonts w:asciiTheme="minorHAnsi" w:hAnsiTheme="minorHAnsi" w:cstheme="minorHAnsi"/>
          <w:sz w:val="24"/>
        </w:rPr>
        <w:t xml:space="preserve"> sont en hausse constante depuis </w:t>
      </w:r>
      <w:r w:rsidR="003D5F66">
        <w:rPr>
          <w:rFonts w:asciiTheme="minorHAnsi" w:hAnsiTheme="minorHAnsi" w:cstheme="minorHAnsi"/>
          <w:sz w:val="24"/>
        </w:rPr>
        <w:t>4</w:t>
      </w:r>
      <w:r w:rsidR="00704BEC" w:rsidRPr="000B4DFE">
        <w:rPr>
          <w:rFonts w:asciiTheme="minorHAnsi" w:hAnsiTheme="minorHAnsi" w:cstheme="minorHAnsi"/>
          <w:sz w:val="24"/>
        </w:rPr>
        <w:t xml:space="preserve"> ans, </w:t>
      </w:r>
      <w:r w:rsidR="003D5F66">
        <w:rPr>
          <w:rFonts w:asciiTheme="minorHAnsi" w:hAnsiTheme="minorHAnsi" w:cstheme="minorHAnsi"/>
          <w:sz w:val="24"/>
        </w:rPr>
        <w:t>112</w:t>
      </w:r>
      <w:r w:rsidR="00534154" w:rsidRPr="000B4DFE">
        <w:rPr>
          <w:rFonts w:asciiTheme="minorHAnsi" w:hAnsiTheme="minorHAnsi" w:cstheme="minorHAnsi"/>
          <w:sz w:val="24"/>
        </w:rPr>
        <w:t xml:space="preserve"> démissions</w:t>
      </w:r>
      <w:r w:rsidR="00704BEC" w:rsidRPr="000B4DFE">
        <w:rPr>
          <w:rFonts w:asciiTheme="minorHAnsi" w:hAnsiTheme="minorHAnsi" w:cstheme="minorHAnsi"/>
          <w:sz w:val="24"/>
        </w:rPr>
        <w:t xml:space="preserve"> en 202</w:t>
      </w:r>
      <w:r w:rsidR="003D5F66">
        <w:rPr>
          <w:rFonts w:asciiTheme="minorHAnsi" w:hAnsiTheme="minorHAnsi" w:cstheme="minorHAnsi"/>
          <w:sz w:val="24"/>
        </w:rPr>
        <w:t>3</w:t>
      </w:r>
      <w:r w:rsidR="00C75101">
        <w:rPr>
          <w:rFonts w:asciiTheme="minorHAnsi" w:hAnsiTheme="minorHAnsi" w:cstheme="minorHAnsi"/>
          <w:sz w:val="24"/>
        </w:rPr>
        <w:t xml:space="preserve">, </w:t>
      </w:r>
      <w:r w:rsidR="003D5F66">
        <w:rPr>
          <w:rFonts w:asciiTheme="minorHAnsi" w:hAnsiTheme="minorHAnsi" w:cstheme="minorHAnsi"/>
          <w:sz w:val="24"/>
        </w:rPr>
        <w:t xml:space="preserve">99 en 2022, </w:t>
      </w:r>
      <w:r w:rsidR="00C75101">
        <w:rPr>
          <w:rFonts w:asciiTheme="minorHAnsi" w:hAnsiTheme="minorHAnsi" w:cstheme="minorHAnsi"/>
          <w:sz w:val="24"/>
        </w:rPr>
        <w:t>58 démissions en 2021</w:t>
      </w:r>
      <w:r w:rsidR="00904526">
        <w:rPr>
          <w:rFonts w:asciiTheme="minorHAnsi" w:hAnsiTheme="minorHAnsi" w:cstheme="minorHAnsi"/>
          <w:sz w:val="24"/>
        </w:rPr>
        <w:t xml:space="preserve"> et 41 en 2020</w:t>
      </w:r>
      <w:r w:rsidR="00704BEC" w:rsidRPr="000B4DFE">
        <w:rPr>
          <w:rFonts w:asciiTheme="minorHAnsi" w:hAnsiTheme="minorHAnsi" w:cstheme="minorHAnsi"/>
          <w:sz w:val="24"/>
        </w:rPr>
        <w:t>.</w:t>
      </w:r>
    </w:p>
    <w:p w:rsidR="0087507F" w:rsidRPr="00C71D19" w:rsidRDefault="0087507F" w:rsidP="000A6EB1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:rsidR="00DF0DD5" w:rsidRDefault="00C71D19" w:rsidP="00C71D19">
      <w:pPr>
        <w:jc w:val="both"/>
        <w:rPr>
          <w:rFonts w:asciiTheme="minorHAnsi" w:hAnsiTheme="minorHAnsi" w:cstheme="minorHAnsi"/>
          <w:b/>
          <w:i/>
          <w:sz w:val="24"/>
          <w:u w:val="single"/>
        </w:rPr>
      </w:pPr>
      <w:r>
        <w:rPr>
          <w:rFonts w:asciiTheme="minorHAnsi" w:hAnsiTheme="minorHAnsi" w:cstheme="minorHAnsi"/>
          <w:b/>
          <w:i/>
          <w:sz w:val="24"/>
          <w:u w:val="single"/>
        </w:rPr>
        <w:t>S</w:t>
      </w:r>
      <w:r w:rsidR="00DF0DD5" w:rsidRPr="00DF0DD5">
        <w:rPr>
          <w:rFonts w:asciiTheme="minorHAnsi" w:hAnsiTheme="minorHAnsi" w:cstheme="minorHAnsi"/>
          <w:b/>
          <w:i/>
          <w:sz w:val="24"/>
          <w:u w:val="single"/>
        </w:rPr>
        <w:t>alaires</w:t>
      </w:r>
    </w:p>
    <w:p w:rsidR="00DF0DD5" w:rsidRDefault="00DF0DD5" w:rsidP="00C71D19">
      <w:pPr>
        <w:jc w:val="both"/>
        <w:rPr>
          <w:rFonts w:asciiTheme="minorHAnsi" w:hAnsiTheme="minorHAnsi" w:cstheme="minorHAnsi"/>
          <w:sz w:val="24"/>
        </w:rPr>
      </w:pPr>
      <w:r w:rsidRPr="00DF0DD5">
        <w:rPr>
          <w:rFonts w:asciiTheme="minorHAnsi" w:hAnsiTheme="minorHAnsi" w:cstheme="minorHAnsi"/>
          <w:sz w:val="24"/>
        </w:rPr>
        <w:t>Le tableau des augmentations de salaire par catégories est le suivant :</w:t>
      </w:r>
    </w:p>
    <w:p w:rsidR="00917E06" w:rsidRPr="00F74219" w:rsidRDefault="00917E06" w:rsidP="00C71D19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ausimple1"/>
        <w:tblW w:w="8007" w:type="dxa"/>
        <w:jc w:val="center"/>
        <w:tblLook w:val="04A0" w:firstRow="1" w:lastRow="0" w:firstColumn="1" w:lastColumn="0" w:noHBand="0" w:noVBand="1"/>
      </w:tblPr>
      <w:tblGrid>
        <w:gridCol w:w="3637"/>
        <w:gridCol w:w="2185"/>
        <w:gridCol w:w="2185"/>
      </w:tblGrid>
      <w:tr w:rsidR="00917E06" w:rsidRPr="000B4DFE" w:rsidTr="00F7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noWrap/>
            <w:hideMark/>
          </w:tcPr>
          <w:p w:rsidR="00917E06" w:rsidRPr="00534154" w:rsidRDefault="00917E06" w:rsidP="00534154">
            <w:pPr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2185" w:type="dxa"/>
            <w:vAlign w:val="center"/>
            <w:hideMark/>
          </w:tcPr>
          <w:p w:rsidR="00917E06" w:rsidRPr="000B4DFE" w:rsidRDefault="00917E06" w:rsidP="0083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0B4DFE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Bilan </w:t>
            </w:r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de </w:t>
            </w:r>
          </w:p>
          <w:p w:rsidR="00917E06" w:rsidRPr="00534154" w:rsidRDefault="00917E06" w:rsidP="0083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>déc</w:t>
            </w:r>
            <w:r w:rsidRPr="000B4DFE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. 2021 à déc. </w:t>
            </w:r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>2022</w:t>
            </w:r>
          </w:p>
        </w:tc>
        <w:tc>
          <w:tcPr>
            <w:tcW w:w="2185" w:type="dxa"/>
          </w:tcPr>
          <w:p w:rsidR="00917E06" w:rsidRPr="000B4DFE" w:rsidRDefault="00917E06" w:rsidP="0091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0B4DFE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Bilan </w:t>
            </w:r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de </w:t>
            </w:r>
          </w:p>
          <w:p w:rsidR="00917E06" w:rsidRPr="000B4DFE" w:rsidRDefault="00917E06" w:rsidP="0091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>déc</w:t>
            </w:r>
            <w:r w:rsidRPr="000B4DFE">
              <w:rPr>
                <w:rFonts w:asciiTheme="minorHAnsi" w:eastAsia="Times New Roman" w:hAnsiTheme="minorHAnsi" w:cstheme="minorHAnsi"/>
                <w:color w:val="000000"/>
                <w:sz w:val="24"/>
              </w:rPr>
              <w:t>. 202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</w:rPr>
              <w:t>2</w:t>
            </w:r>
            <w:r w:rsidRPr="000B4DFE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 à déc. </w:t>
            </w:r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>202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</w:rPr>
              <w:t>3</w:t>
            </w:r>
          </w:p>
        </w:tc>
      </w:tr>
      <w:tr w:rsidR="00917E06" w:rsidRPr="000B4DFE" w:rsidTr="00F7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noWrap/>
            <w:hideMark/>
          </w:tcPr>
          <w:p w:rsidR="00917E06" w:rsidRPr="00534154" w:rsidRDefault="00917E06" w:rsidP="00534154">
            <w:pPr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>Cadres &gt; 100</w:t>
            </w:r>
          </w:p>
        </w:tc>
        <w:tc>
          <w:tcPr>
            <w:tcW w:w="2185" w:type="dxa"/>
            <w:noWrap/>
            <w:hideMark/>
          </w:tcPr>
          <w:p w:rsidR="00917E06" w:rsidRPr="00534154" w:rsidRDefault="00917E06" w:rsidP="0053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  <w:t>4,35%</w:t>
            </w:r>
          </w:p>
        </w:tc>
        <w:tc>
          <w:tcPr>
            <w:tcW w:w="2185" w:type="dxa"/>
          </w:tcPr>
          <w:p w:rsidR="00917E06" w:rsidRPr="00917E06" w:rsidRDefault="00917E06" w:rsidP="0053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B050"/>
                <w:sz w:val="24"/>
              </w:rPr>
            </w:pPr>
            <w:r w:rsidRPr="00917E06">
              <w:rPr>
                <w:rFonts w:asciiTheme="minorHAnsi" w:eastAsia="Times New Roman" w:hAnsiTheme="minorHAnsi" w:cstheme="minorHAnsi"/>
                <w:b/>
                <w:color w:val="00B050"/>
                <w:sz w:val="24"/>
              </w:rPr>
              <w:t>6,36%</w:t>
            </w:r>
          </w:p>
        </w:tc>
      </w:tr>
      <w:tr w:rsidR="00917E06" w:rsidRPr="000B4DFE" w:rsidTr="00F74219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noWrap/>
            <w:hideMark/>
          </w:tcPr>
          <w:p w:rsidR="00917E06" w:rsidRPr="00534154" w:rsidRDefault="00917E06" w:rsidP="00534154">
            <w:pPr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>Cadres &lt; 100</w:t>
            </w:r>
          </w:p>
        </w:tc>
        <w:tc>
          <w:tcPr>
            <w:tcW w:w="2185" w:type="dxa"/>
            <w:noWrap/>
            <w:hideMark/>
          </w:tcPr>
          <w:p w:rsidR="00917E06" w:rsidRPr="00534154" w:rsidRDefault="00917E06" w:rsidP="0053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  <w:t>5,38%</w:t>
            </w:r>
          </w:p>
        </w:tc>
        <w:tc>
          <w:tcPr>
            <w:tcW w:w="2185" w:type="dxa"/>
          </w:tcPr>
          <w:p w:rsidR="00917E06" w:rsidRPr="00917E06" w:rsidRDefault="00917E06" w:rsidP="0091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B050"/>
                <w:sz w:val="24"/>
              </w:rPr>
            </w:pPr>
            <w:r w:rsidRPr="00917E06">
              <w:rPr>
                <w:rFonts w:asciiTheme="minorHAnsi" w:eastAsia="Times New Roman" w:hAnsiTheme="minorHAnsi" w:cstheme="minorHAnsi"/>
                <w:b/>
                <w:color w:val="00B050"/>
                <w:sz w:val="24"/>
              </w:rPr>
              <w:t>7,65% </w:t>
            </w:r>
          </w:p>
        </w:tc>
      </w:tr>
      <w:tr w:rsidR="00917E06" w:rsidRPr="000B4DFE" w:rsidTr="00F7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noWrap/>
            <w:hideMark/>
          </w:tcPr>
          <w:p w:rsidR="00917E06" w:rsidRPr="00534154" w:rsidRDefault="00917E06" w:rsidP="00534154">
            <w:pPr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Cadres </w:t>
            </w:r>
            <w:proofErr w:type="spellStart"/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>coeff</w:t>
            </w:r>
            <w:proofErr w:type="spellEnd"/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>.</w:t>
            </w:r>
          </w:p>
        </w:tc>
        <w:tc>
          <w:tcPr>
            <w:tcW w:w="2185" w:type="dxa"/>
            <w:noWrap/>
            <w:hideMark/>
          </w:tcPr>
          <w:p w:rsidR="00917E06" w:rsidRPr="00534154" w:rsidRDefault="00917E06" w:rsidP="0053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  <w:r w:rsidRPr="000B4DFE"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  <w:t>N-S</w:t>
            </w:r>
          </w:p>
        </w:tc>
        <w:tc>
          <w:tcPr>
            <w:tcW w:w="2185" w:type="dxa"/>
          </w:tcPr>
          <w:p w:rsidR="00917E06" w:rsidRPr="000B4DFE" w:rsidRDefault="00917E06" w:rsidP="0053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  <w:r w:rsidRPr="000B4DFE"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  <w:t>N-S</w:t>
            </w:r>
          </w:p>
        </w:tc>
      </w:tr>
      <w:tr w:rsidR="00917E06" w:rsidRPr="000B4DFE" w:rsidTr="00F74219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noWrap/>
            <w:hideMark/>
          </w:tcPr>
          <w:p w:rsidR="00917E06" w:rsidRPr="00534154" w:rsidRDefault="00917E06" w:rsidP="00917E06">
            <w:pPr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>Techniciens et AM</w:t>
            </w:r>
          </w:p>
        </w:tc>
        <w:tc>
          <w:tcPr>
            <w:tcW w:w="2185" w:type="dxa"/>
            <w:noWrap/>
            <w:hideMark/>
          </w:tcPr>
          <w:p w:rsidR="00917E06" w:rsidRPr="00534154" w:rsidRDefault="00917E06" w:rsidP="0091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  <w:t>7,42%</w:t>
            </w:r>
          </w:p>
        </w:tc>
        <w:tc>
          <w:tcPr>
            <w:tcW w:w="2185" w:type="dxa"/>
          </w:tcPr>
          <w:p w:rsidR="00917E06" w:rsidRPr="00917E06" w:rsidRDefault="00917E06" w:rsidP="0091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C00000"/>
                <w:sz w:val="24"/>
              </w:rPr>
            </w:pPr>
            <w:r w:rsidRPr="00917E06">
              <w:rPr>
                <w:rFonts w:asciiTheme="minorHAnsi" w:eastAsia="Times New Roman" w:hAnsiTheme="minorHAnsi" w:cstheme="minorHAnsi"/>
                <w:b/>
                <w:color w:val="C00000"/>
                <w:sz w:val="24"/>
              </w:rPr>
              <w:t>7,05%</w:t>
            </w:r>
          </w:p>
        </w:tc>
      </w:tr>
      <w:tr w:rsidR="00917E06" w:rsidRPr="000B4DFE" w:rsidTr="00F7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noWrap/>
            <w:hideMark/>
          </w:tcPr>
          <w:p w:rsidR="00917E06" w:rsidRPr="00534154" w:rsidRDefault="00917E06" w:rsidP="00917E06">
            <w:pPr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>Employés</w:t>
            </w:r>
          </w:p>
        </w:tc>
        <w:tc>
          <w:tcPr>
            <w:tcW w:w="2185" w:type="dxa"/>
            <w:noWrap/>
            <w:hideMark/>
          </w:tcPr>
          <w:p w:rsidR="00917E06" w:rsidRPr="00534154" w:rsidRDefault="00917E06" w:rsidP="0091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  <w:t>7,79%</w:t>
            </w:r>
          </w:p>
        </w:tc>
        <w:tc>
          <w:tcPr>
            <w:tcW w:w="2185" w:type="dxa"/>
          </w:tcPr>
          <w:p w:rsidR="00917E06" w:rsidRPr="00917E06" w:rsidRDefault="00917E06" w:rsidP="0091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C00000"/>
                <w:sz w:val="24"/>
              </w:rPr>
            </w:pPr>
            <w:r w:rsidRPr="00917E06">
              <w:rPr>
                <w:rFonts w:asciiTheme="minorHAnsi" w:eastAsia="Times New Roman" w:hAnsiTheme="minorHAnsi" w:cstheme="minorHAnsi"/>
                <w:b/>
                <w:color w:val="C00000"/>
                <w:sz w:val="24"/>
              </w:rPr>
              <w:t>7,13%</w:t>
            </w:r>
          </w:p>
        </w:tc>
      </w:tr>
      <w:tr w:rsidR="00917E06" w:rsidRPr="000B4DFE" w:rsidTr="00F74219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noWrap/>
            <w:hideMark/>
          </w:tcPr>
          <w:p w:rsidR="00917E06" w:rsidRPr="00534154" w:rsidRDefault="00917E06" w:rsidP="00917E06">
            <w:pPr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>ATA</w:t>
            </w:r>
          </w:p>
        </w:tc>
        <w:tc>
          <w:tcPr>
            <w:tcW w:w="2185" w:type="dxa"/>
            <w:noWrap/>
            <w:hideMark/>
          </w:tcPr>
          <w:p w:rsidR="00917E06" w:rsidRPr="00534154" w:rsidRDefault="00917E06" w:rsidP="0091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  <w:t>7,36%</w:t>
            </w:r>
          </w:p>
        </w:tc>
        <w:tc>
          <w:tcPr>
            <w:tcW w:w="2185" w:type="dxa"/>
          </w:tcPr>
          <w:p w:rsidR="00917E06" w:rsidRPr="00917E06" w:rsidRDefault="00917E06" w:rsidP="0091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C00000"/>
                <w:sz w:val="24"/>
              </w:rPr>
            </w:pPr>
            <w:r w:rsidRPr="00917E06">
              <w:rPr>
                <w:rFonts w:asciiTheme="minorHAnsi" w:eastAsia="Times New Roman" w:hAnsiTheme="minorHAnsi" w:cstheme="minorHAnsi"/>
                <w:b/>
                <w:color w:val="C00000"/>
                <w:sz w:val="24"/>
              </w:rPr>
              <w:t>7,06%</w:t>
            </w:r>
          </w:p>
        </w:tc>
      </w:tr>
      <w:tr w:rsidR="00917E06" w:rsidRPr="000B4DFE" w:rsidTr="00F7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noWrap/>
            <w:hideMark/>
          </w:tcPr>
          <w:p w:rsidR="00917E06" w:rsidRPr="00534154" w:rsidRDefault="00917E06" w:rsidP="00917E06">
            <w:pPr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color w:val="000000"/>
                <w:sz w:val="24"/>
              </w:rPr>
              <w:t>CA PF TA</w:t>
            </w:r>
          </w:p>
        </w:tc>
        <w:tc>
          <w:tcPr>
            <w:tcW w:w="2185" w:type="dxa"/>
            <w:noWrap/>
            <w:hideMark/>
          </w:tcPr>
          <w:p w:rsidR="00917E06" w:rsidRPr="00534154" w:rsidRDefault="00917E06" w:rsidP="0091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  <w:r w:rsidRPr="00534154"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  <w:t>8,61%</w:t>
            </w:r>
          </w:p>
        </w:tc>
        <w:tc>
          <w:tcPr>
            <w:tcW w:w="2185" w:type="dxa"/>
          </w:tcPr>
          <w:p w:rsidR="00917E06" w:rsidRPr="00917E06" w:rsidRDefault="00917E06" w:rsidP="0091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C00000"/>
                <w:sz w:val="24"/>
              </w:rPr>
            </w:pPr>
            <w:r w:rsidRPr="00917E06">
              <w:rPr>
                <w:rFonts w:asciiTheme="minorHAnsi" w:eastAsia="Times New Roman" w:hAnsiTheme="minorHAnsi" w:cstheme="minorHAnsi"/>
                <w:b/>
                <w:color w:val="C00000"/>
                <w:sz w:val="24"/>
              </w:rPr>
              <w:t>8,14%</w:t>
            </w:r>
          </w:p>
        </w:tc>
      </w:tr>
    </w:tbl>
    <w:p w:rsidR="00534154" w:rsidRPr="00F74219" w:rsidRDefault="00534154" w:rsidP="0087507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869CE" w:rsidRDefault="00954C07" w:rsidP="00F742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C</w:t>
      </w:r>
      <w:r w:rsidR="00DF0DD5">
        <w:rPr>
          <w:rFonts w:asciiTheme="minorHAnsi" w:hAnsiTheme="minorHAnsi" w:cstheme="minorHAnsi"/>
          <w:sz w:val="24"/>
        </w:rPr>
        <w:t xml:space="preserve">es augmentations représentent </w:t>
      </w:r>
      <w:r w:rsidR="00E56AB7">
        <w:rPr>
          <w:rFonts w:asciiTheme="minorHAnsi" w:hAnsiTheme="minorHAnsi" w:cstheme="minorHAnsi"/>
          <w:sz w:val="24"/>
        </w:rPr>
        <w:t>7</w:t>
      </w:r>
      <w:r w:rsidR="000B4DFE" w:rsidRPr="000B4DFE">
        <w:rPr>
          <w:rFonts w:asciiTheme="minorHAnsi" w:hAnsiTheme="minorHAnsi" w:cstheme="minorHAnsi"/>
          <w:sz w:val="24"/>
        </w:rPr>
        <w:t xml:space="preserve"> </w:t>
      </w:r>
      <w:r w:rsidR="00DF0DD5">
        <w:rPr>
          <w:rFonts w:asciiTheme="minorHAnsi" w:hAnsiTheme="minorHAnsi" w:cstheme="minorHAnsi"/>
          <w:sz w:val="24"/>
        </w:rPr>
        <w:t>% pour les cadres et</w:t>
      </w:r>
      <w:r w:rsidR="000B4DFE" w:rsidRPr="000B4DFE">
        <w:rPr>
          <w:rFonts w:asciiTheme="minorHAnsi" w:hAnsiTheme="minorHAnsi" w:cstheme="minorHAnsi"/>
          <w:sz w:val="24"/>
        </w:rPr>
        <w:t xml:space="preserve"> 7,</w:t>
      </w:r>
      <w:r w:rsidR="00E56AB7">
        <w:rPr>
          <w:rFonts w:asciiTheme="minorHAnsi" w:hAnsiTheme="minorHAnsi" w:cstheme="minorHAnsi"/>
          <w:sz w:val="24"/>
        </w:rPr>
        <w:t>34</w:t>
      </w:r>
      <w:r w:rsidR="000B4DFE" w:rsidRPr="000B4DFE">
        <w:rPr>
          <w:rFonts w:asciiTheme="minorHAnsi" w:hAnsiTheme="minorHAnsi" w:cstheme="minorHAnsi"/>
          <w:sz w:val="24"/>
        </w:rPr>
        <w:t xml:space="preserve"> </w:t>
      </w:r>
      <w:r w:rsidR="00DF0DD5">
        <w:rPr>
          <w:rFonts w:asciiTheme="minorHAnsi" w:hAnsiTheme="minorHAnsi" w:cstheme="minorHAnsi"/>
          <w:sz w:val="24"/>
        </w:rPr>
        <w:t xml:space="preserve">% pour les ouvriers, </w:t>
      </w:r>
      <w:r w:rsidR="00D42648">
        <w:rPr>
          <w:rFonts w:asciiTheme="minorHAnsi" w:hAnsiTheme="minorHAnsi" w:cstheme="minorHAnsi"/>
          <w:sz w:val="24"/>
        </w:rPr>
        <w:t>employés, techniciens et Agents de Maîtrise</w:t>
      </w:r>
      <w:r w:rsidR="00DF0DD5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La CGT vous rappelle que ce n’est que des moyennes et forcément des salariés</w:t>
      </w:r>
      <w:r w:rsidR="00492CC0">
        <w:rPr>
          <w:rFonts w:asciiTheme="minorHAnsi" w:hAnsiTheme="minorHAnsi" w:cstheme="minorHAnsi"/>
          <w:sz w:val="24"/>
        </w:rPr>
        <w:t xml:space="preserve"> ne se retrouveront pas dans ces</w:t>
      </w:r>
      <w:r>
        <w:rPr>
          <w:rFonts w:asciiTheme="minorHAnsi" w:hAnsiTheme="minorHAnsi" w:cstheme="minorHAnsi"/>
          <w:sz w:val="24"/>
        </w:rPr>
        <w:t xml:space="preserve"> chiffres annoncés par la direction. </w:t>
      </w:r>
    </w:p>
    <w:p w:rsidR="008869CE" w:rsidRPr="00F74219" w:rsidRDefault="008869CE" w:rsidP="008869CE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:rsidR="00DA316B" w:rsidRDefault="00DA316B" w:rsidP="00C71D19">
      <w:pPr>
        <w:jc w:val="both"/>
        <w:rPr>
          <w:rFonts w:asciiTheme="minorHAnsi" w:hAnsiTheme="minorHAnsi" w:cstheme="minorHAnsi"/>
          <w:sz w:val="24"/>
        </w:rPr>
      </w:pPr>
    </w:p>
    <w:p w:rsidR="00DA316B" w:rsidRDefault="00DA316B" w:rsidP="00C71D19">
      <w:pPr>
        <w:jc w:val="both"/>
        <w:rPr>
          <w:rFonts w:asciiTheme="minorHAnsi" w:hAnsiTheme="minorHAnsi" w:cstheme="minorHAnsi"/>
          <w:sz w:val="24"/>
        </w:rPr>
      </w:pPr>
    </w:p>
    <w:p w:rsidR="00DA316B" w:rsidRDefault="00DA316B" w:rsidP="00C71D19">
      <w:pPr>
        <w:jc w:val="both"/>
        <w:rPr>
          <w:rFonts w:asciiTheme="minorHAnsi" w:hAnsiTheme="minorHAnsi" w:cstheme="minorHAnsi"/>
          <w:sz w:val="24"/>
        </w:rPr>
      </w:pPr>
    </w:p>
    <w:p w:rsidR="00DA316B" w:rsidRDefault="00DA316B" w:rsidP="00C71D19">
      <w:pPr>
        <w:jc w:val="both"/>
        <w:rPr>
          <w:rFonts w:asciiTheme="minorHAnsi" w:hAnsiTheme="minorHAnsi" w:cstheme="minorHAnsi"/>
          <w:sz w:val="24"/>
        </w:rPr>
      </w:pPr>
    </w:p>
    <w:p w:rsidR="00DA316B" w:rsidRDefault="00DA316B" w:rsidP="00C71D19">
      <w:pPr>
        <w:jc w:val="both"/>
        <w:rPr>
          <w:rFonts w:asciiTheme="minorHAnsi" w:hAnsiTheme="minorHAnsi" w:cstheme="minorHAnsi"/>
          <w:sz w:val="24"/>
        </w:rPr>
      </w:pPr>
    </w:p>
    <w:p w:rsidR="00DA316B" w:rsidRDefault="00DA316B" w:rsidP="00C71D19">
      <w:pPr>
        <w:jc w:val="both"/>
        <w:rPr>
          <w:rFonts w:asciiTheme="minorHAnsi" w:hAnsiTheme="minorHAnsi" w:cstheme="minorHAnsi"/>
          <w:sz w:val="24"/>
        </w:rPr>
      </w:pPr>
    </w:p>
    <w:p w:rsidR="00DA316B" w:rsidRDefault="00DA316B" w:rsidP="00C71D19">
      <w:pPr>
        <w:jc w:val="both"/>
        <w:rPr>
          <w:rFonts w:asciiTheme="minorHAnsi" w:hAnsiTheme="minorHAnsi" w:cstheme="minorHAnsi"/>
          <w:sz w:val="24"/>
        </w:rPr>
      </w:pPr>
    </w:p>
    <w:p w:rsidR="008869CE" w:rsidRDefault="00FD2802" w:rsidP="00C71D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Alors que dans toute les catégories de personnel, les salaires des hommes et des femmes sont relativement proche</w:t>
      </w:r>
      <w:r w:rsidR="008869CE">
        <w:rPr>
          <w:rFonts w:asciiTheme="minorHAnsi" w:hAnsiTheme="minorHAnsi" w:cstheme="minorHAnsi"/>
          <w:sz w:val="24"/>
        </w:rPr>
        <w:t>s</w:t>
      </w:r>
      <w:r w:rsidR="00FF29E6">
        <w:rPr>
          <w:rFonts w:asciiTheme="minorHAnsi" w:hAnsiTheme="minorHAnsi" w:cstheme="minorHAnsi"/>
          <w:sz w:val="24"/>
        </w:rPr>
        <w:t>,</w:t>
      </w:r>
      <w:r w:rsidR="00792B8F">
        <w:rPr>
          <w:rFonts w:asciiTheme="minorHAnsi" w:hAnsiTheme="minorHAnsi" w:cstheme="minorHAnsi"/>
          <w:sz w:val="24"/>
        </w:rPr>
        <w:t xml:space="preserve"> il n’en est</w:t>
      </w:r>
      <w:r>
        <w:rPr>
          <w:rFonts w:asciiTheme="minorHAnsi" w:hAnsiTheme="minorHAnsi" w:cstheme="minorHAnsi"/>
          <w:sz w:val="24"/>
        </w:rPr>
        <w:t xml:space="preserve"> rien pour </w:t>
      </w:r>
      <w:r w:rsidR="00954C07">
        <w:rPr>
          <w:rFonts w:asciiTheme="minorHAnsi" w:hAnsiTheme="minorHAnsi" w:cstheme="minorHAnsi"/>
          <w:sz w:val="24"/>
        </w:rPr>
        <w:t>la plus haute catégorie</w:t>
      </w:r>
      <w:r w:rsidR="00AF442B">
        <w:rPr>
          <w:rFonts w:asciiTheme="minorHAnsi" w:hAnsiTheme="minorHAnsi" w:cstheme="minorHAnsi"/>
          <w:sz w:val="24"/>
        </w:rPr>
        <w:t>, l</w:t>
      </w:r>
      <w:r w:rsidR="008869CE">
        <w:rPr>
          <w:rFonts w:asciiTheme="minorHAnsi" w:hAnsiTheme="minorHAnsi" w:cstheme="minorHAnsi"/>
          <w:sz w:val="24"/>
        </w:rPr>
        <w:t>a très faible représentation des femmes aux plus hautes responsabilités de notre société pèse lourdement sur les moyennes de rémunération annuelle des cadres aux coefficients supérieurs à 100 :</w:t>
      </w:r>
    </w:p>
    <w:p w:rsidR="00FD2802" w:rsidRDefault="00FD2802" w:rsidP="00FD2802">
      <w:pPr>
        <w:jc w:val="both"/>
        <w:rPr>
          <w:rFonts w:asciiTheme="minorHAnsi" w:hAnsiTheme="minorHAnsi" w:cstheme="minorHAnsi"/>
          <w:sz w:val="24"/>
        </w:rPr>
      </w:pPr>
    </w:p>
    <w:tbl>
      <w:tblPr>
        <w:tblStyle w:val="Tableausimple1"/>
        <w:tblW w:w="8053" w:type="dxa"/>
        <w:jc w:val="center"/>
        <w:tblLook w:val="04A0" w:firstRow="1" w:lastRow="0" w:firstColumn="1" w:lastColumn="0" w:noHBand="0" w:noVBand="1"/>
      </w:tblPr>
      <w:tblGrid>
        <w:gridCol w:w="2016"/>
        <w:gridCol w:w="1245"/>
        <w:gridCol w:w="1418"/>
        <w:gridCol w:w="1417"/>
        <w:gridCol w:w="1957"/>
      </w:tblGrid>
      <w:tr w:rsidR="00FD2802" w:rsidRPr="00FD2802" w:rsidTr="00296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:rsidR="00FD2802" w:rsidRPr="00905F64" w:rsidRDefault="00FD2802" w:rsidP="00FD2802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245" w:type="dxa"/>
            <w:noWrap/>
            <w:hideMark/>
          </w:tcPr>
          <w:p w:rsidR="00FD2802" w:rsidRPr="00905F64" w:rsidRDefault="008869CE" w:rsidP="00886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8"/>
              </w:rPr>
            </w:pPr>
            <w:r w:rsidRPr="00905F64">
              <w:rPr>
                <w:rFonts w:eastAsia="Times New Roman" w:cs="Calibri"/>
                <w:color w:val="000000"/>
                <w:sz w:val="28"/>
              </w:rPr>
              <w:t>Année</w:t>
            </w:r>
          </w:p>
        </w:tc>
        <w:tc>
          <w:tcPr>
            <w:tcW w:w="1418" w:type="dxa"/>
            <w:noWrap/>
            <w:hideMark/>
          </w:tcPr>
          <w:p w:rsidR="00FD2802" w:rsidRPr="00905F64" w:rsidRDefault="008869CE" w:rsidP="00886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8"/>
              </w:rPr>
            </w:pPr>
            <w:r w:rsidRPr="00905F64">
              <w:rPr>
                <w:rFonts w:eastAsia="Times New Roman" w:cs="Calibri"/>
                <w:color w:val="000000"/>
                <w:sz w:val="28"/>
              </w:rPr>
              <w:t>F</w:t>
            </w:r>
            <w:r w:rsidR="00FD2802" w:rsidRPr="00905F64">
              <w:rPr>
                <w:rFonts w:eastAsia="Times New Roman" w:cs="Calibri"/>
                <w:color w:val="000000"/>
                <w:sz w:val="28"/>
              </w:rPr>
              <w:t>emmes</w:t>
            </w:r>
          </w:p>
        </w:tc>
        <w:tc>
          <w:tcPr>
            <w:tcW w:w="1417" w:type="dxa"/>
            <w:noWrap/>
            <w:hideMark/>
          </w:tcPr>
          <w:p w:rsidR="00FD2802" w:rsidRPr="00905F64" w:rsidRDefault="00FD2802" w:rsidP="00886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8"/>
              </w:rPr>
            </w:pPr>
            <w:r w:rsidRPr="00905F64">
              <w:rPr>
                <w:rFonts w:eastAsia="Times New Roman" w:cs="Calibri"/>
                <w:color w:val="000000"/>
                <w:sz w:val="28"/>
              </w:rPr>
              <w:t>Hommes</w:t>
            </w:r>
          </w:p>
        </w:tc>
        <w:tc>
          <w:tcPr>
            <w:tcW w:w="1957" w:type="dxa"/>
            <w:noWrap/>
            <w:hideMark/>
          </w:tcPr>
          <w:p w:rsidR="00FD2802" w:rsidRPr="00905F64" w:rsidRDefault="00905F64" w:rsidP="00886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8"/>
              </w:rPr>
            </w:pPr>
            <w:r>
              <w:rPr>
                <w:rFonts w:eastAsia="Times New Roman" w:cs="Calibri"/>
                <w:color w:val="000000"/>
                <w:sz w:val="28"/>
              </w:rPr>
              <w:t>D</w:t>
            </w:r>
            <w:r w:rsidR="00FD2802" w:rsidRPr="00905F64">
              <w:rPr>
                <w:rFonts w:eastAsia="Times New Roman" w:cs="Calibri"/>
                <w:color w:val="000000"/>
                <w:sz w:val="28"/>
              </w:rPr>
              <w:t>ifférence</w:t>
            </w:r>
          </w:p>
        </w:tc>
      </w:tr>
      <w:tr w:rsidR="00FD2802" w:rsidRPr="00FD2802" w:rsidTr="0029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vAlign w:val="center"/>
            <w:hideMark/>
          </w:tcPr>
          <w:p w:rsidR="00FD2802" w:rsidRPr="00905F64" w:rsidRDefault="00FD2802" w:rsidP="002968F4">
            <w:pPr>
              <w:jc w:val="center"/>
              <w:rPr>
                <w:rFonts w:eastAsia="Times New Roman" w:cs="Calibri"/>
                <w:color w:val="000000"/>
                <w:sz w:val="28"/>
              </w:rPr>
            </w:pPr>
            <w:r w:rsidRPr="00905F64">
              <w:rPr>
                <w:rFonts w:eastAsia="Times New Roman" w:cs="Calibri"/>
                <w:color w:val="000000"/>
                <w:sz w:val="28"/>
              </w:rPr>
              <w:t>Cadres &gt;</w:t>
            </w:r>
            <w:r w:rsidR="002968F4">
              <w:rPr>
                <w:rFonts w:eastAsia="Times New Roman" w:cs="Calibri"/>
                <w:color w:val="000000"/>
                <w:sz w:val="28"/>
              </w:rPr>
              <w:t>=</w:t>
            </w:r>
            <w:r w:rsidRPr="00905F64">
              <w:rPr>
                <w:rFonts w:eastAsia="Times New Roman" w:cs="Calibri"/>
                <w:color w:val="000000"/>
                <w:sz w:val="28"/>
              </w:rPr>
              <w:t xml:space="preserve"> 100</w:t>
            </w:r>
          </w:p>
        </w:tc>
        <w:tc>
          <w:tcPr>
            <w:tcW w:w="1245" w:type="dxa"/>
            <w:noWrap/>
            <w:vAlign w:val="center"/>
            <w:hideMark/>
          </w:tcPr>
          <w:p w:rsidR="00FD2802" w:rsidRPr="00905F64" w:rsidRDefault="00FD2802" w:rsidP="00AF4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8"/>
              </w:rPr>
            </w:pPr>
            <w:r w:rsidRPr="00905F64">
              <w:rPr>
                <w:rFonts w:eastAsia="Times New Roman" w:cs="Calibri"/>
                <w:color w:val="000000"/>
                <w:sz w:val="28"/>
              </w:rPr>
              <w:t>202</w:t>
            </w:r>
            <w:r w:rsidR="00AF442B">
              <w:rPr>
                <w:rFonts w:eastAsia="Times New Roman" w:cs="Calibri"/>
                <w:color w:val="000000"/>
                <w:sz w:val="28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FD2802" w:rsidRPr="00905F64" w:rsidRDefault="00AF442B" w:rsidP="00AF4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8"/>
              </w:rPr>
            </w:pPr>
            <w:r>
              <w:rPr>
                <w:rFonts w:eastAsia="Times New Roman" w:cs="Calibri"/>
                <w:color w:val="000000"/>
                <w:sz w:val="28"/>
              </w:rPr>
              <w:t>68 559</w:t>
            </w:r>
            <w:r w:rsidR="008869CE" w:rsidRPr="00905F64">
              <w:rPr>
                <w:rFonts w:eastAsia="Times New Roman" w:cs="Calibri"/>
                <w:color w:val="000000"/>
                <w:sz w:val="28"/>
              </w:rPr>
              <w:t xml:space="preserve"> €</w:t>
            </w:r>
          </w:p>
        </w:tc>
        <w:tc>
          <w:tcPr>
            <w:tcW w:w="1417" w:type="dxa"/>
            <w:noWrap/>
            <w:vAlign w:val="center"/>
            <w:hideMark/>
          </w:tcPr>
          <w:p w:rsidR="00FD2802" w:rsidRPr="00905F64" w:rsidRDefault="00AF442B" w:rsidP="00AF4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8"/>
              </w:rPr>
            </w:pPr>
            <w:r>
              <w:rPr>
                <w:rFonts w:eastAsia="Times New Roman" w:cs="Calibri"/>
                <w:color w:val="000000"/>
                <w:sz w:val="28"/>
              </w:rPr>
              <w:t>78 911</w:t>
            </w:r>
            <w:r w:rsidR="008869CE" w:rsidRPr="00905F64">
              <w:rPr>
                <w:rFonts w:eastAsia="Times New Roman" w:cs="Calibri"/>
                <w:color w:val="000000"/>
                <w:sz w:val="28"/>
              </w:rPr>
              <w:t xml:space="preserve"> €</w:t>
            </w:r>
          </w:p>
        </w:tc>
        <w:tc>
          <w:tcPr>
            <w:tcW w:w="1957" w:type="dxa"/>
            <w:noWrap/>
            <w:vAlign w:val="center"/>
            <w:hideMark/>
          </w:tcPr>
          <w:p w:rsidR="00FD2802" w:rsidRPr="00905F64" w:rsidRDefault="00AF442B" w:rsidP="00AF442B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8"/>
              </w:rPr>
            </w:pPr>
            <w:r>
              <w:rPr>
                <w:rFonts w:eastAsia="Times New Roman" w:cs="Calibri"/>
                <w:b/>
                <w:color w:val="FF0000"/>
                <w:sz w:val="28"/>
              </w:rPr>
              <w:t xml:space="preserve">       </w:t>
            </w:r>
            <w:r w:rsidR="00FD2802" w:rsidRPr="0071060A">
              <w:rPr>
                <w:rFonts w:eastAsia="Times New Roman" w:cs="Calibri"/>
                <w:b/>
                <w:color w:val="C00000"/>
                <w:sz w:val="28"/>
              </w:rPr>
              <w:t>10</w:t>
            </w:r>
            <w:r w:rsidR="008869CE" w:rsidRPr="0071060A">
              <w:rPr>
                <w:rFonts w:eastAsia="Times New Roman" w:cs="Calibri"/>
                <w:b/>
                <w:color w:val="C00000"/>
                <w:sz w:val="28"/>
              </w:rPr>
              <w:t> </w:t>
            </w:r>
            <w:r w:rsidRPr="0071060A">
              <w:rPr>
                <w:rFonts w:eastAsia="Times New Roman" w:cs="Calibri"/>
                <w:b/>
                <w:color w:val="C00000"/>
                <w:sz w:val="28"/>
              </w:rPr>
              <w:t>352</w:t>
            </w:r>
            <w:r w:rsidR="008869CE" w:rsidRPr="0071060A">
              <w:rPr>
                <w:rFonts w:eastAsia="Times New Roman" w:cs="Calibri"/>
                <w:b/>
                <w:color w:val="C00000"/>
                <w:sz w:val="28"/>
              </w:rPr>
              <w:t xml:space="preserve"> €</w:t>
            </w:r>
          </w:p>
        </w:tc>
      </w:tr>
    </w:tbl>
    <w:p w:rsidR="00FD2802" w:rsidRPr="000B4DFE" w:rsidRDefault="00FD2802" w:rsidP="00FD2802">
      <w:pPr>
        <w:jc w:val="both"/>
        <w:rPr>
          <w:rFonts w:asciiTheme="minorHAnsi" w:hAnsiTheme="minorHAnsi" w:cstheme="minorHAnsi"/>
          <w:sz w:val="24"/>
        </w:rPr>
      </w:pPr>
    </w:p>
    <w:p w:rsidR="00FD2802" w:rsidRPr="00F74219" w:rsidRDefault="008869CE" w:rsidP="00F74219">
      <w:pPr>
        <w:jc w:val="center"/>
        <w:rPr>
          <w:rFonts w:asciiTheme="minorHAnsi" w:hAnsiTheme="minorHAnsi" w:cstheme="minorHAnsi"/>
          <w:b/>
          <w:sz w:val="24"/>
        </w:rPr>
      </w:pPr>
      <w:r w:rsidRPr="00F74219">
        <w:rPr>
          <w:rFonts w:asciiTheme="minorHAnsi" w:hAnsiTheme="minorHAnsi" w:cstheme="minorHAnsi"/>
          <w:b/>
          <w:sz w:val="24"/>
        </w:rPr>
        <w:t xml:space="preserve">Malheureusement les chiffres n’évoluent </w:t>
      </w:r>
      <w:r w:rsidR="00F74219" w:rsidRPr="00F74219">
        <w:rPr>
          <w:rFonts w:asciiTheme="minorHAnsi" w:hAnsiTheme="minorHAnsi" w:cstheme="minorHAnsi"/>
          <w:b/>
          <w:sz w:val="24"/>
        </w:rPr>
        <w:t xml:space="preserve">toujours </w:t>
      </w:r>
      <w:r w:rsidRPr="00F74219">
        <w:rPr>
          <w:rFonts w:asciiTheme="minorHAnsi" w:hAnsiTheme="minorHAnsi" w:cstheme="minorHAnsi"/>
          <w:b/>
          <w:sz w:val="24"/>
        </w:rPr>
        <w:t>pas dans le bon sens. Il faut que la Direction agisse plus vigoureusement contre le « </w:t>
      </w:r>
      <w:r w:rsidRPr="00F74219">
        <w:rPr>
          <w:rFonts w:asciiTheme="minorHAnsi" w:hAnsiTheme="minorHAnsi" w:cstheme="minorHAnsi"/>
          <w:b/>
          <w:i/>
          <w:sz w:val="24"/>
        </w:rPr>
        <w:t>plafond de verre</w:t>
      </w:r>
      <w:r w:rsidRPr="00F74219">
        <w:rPr>
          <w:rFonts w:asciiTheme="minorHAnsi" w:hAnsiTheme="minorHAnsi" w:cstheme="minorHAnsi"/>
          <w:b/>
          <w:sz w:val="24"/>
        </w:rPr>
        <w:t> ».</w:t>
      </w:r>
    </w:p>
    <w:p w:rsidR="00B267FF" w:rsidRPr="00C71D19" w:rsidRDefault="00B267FF" w:rsidP="008869CE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:rsidR="00B267FF" w:rsidRPr="00B267FF" w:rsidRDefault="00B267FF" w:rsidP="00C71D19">
      <w:pPr>
        <w:jc w:val="both"/>
        <w:rPr>
          <w:rFonts w:asciiTheme="minorHAnsi" w:hAnsiTheme="minorHAnsi" w:cstheme="minorHAnsi"/>
          <w:b/>
          <w:i/>
          <w:sz w:val="24"/>
          <w:u w:val="single"/>
        </w:rPr>
      </w:pPr>
      <w:r w:rsidRPr="00B267FF">
        <w:rPr>
          <w:rFonts w:asciiTheme="minorHAnsi" w:hAnsiTheme="minorHAnsi" w:cstheme="minorHAnsi"/>
          <w:b/>
          <w:i/>
          <w:sz w:val="24"/>
          <w:u w:val="single"/>
        </w:rPr>
        <w:t>Autres informations</w:t>
      </w:r>
    </w:p>
    <w:p w:rsidR="00852BD0" w:rsidRDefault="00B267FF" w:rsidP="00C71D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</w:t>
      </w:r>
      <w:r w:rsidR="00FF29E6">
        <w:rPr>
          <w:rFonts w:asciiTheme="minorHAnsi" w:hAnsiTheme="minorHAnsi" w:cstheme="minorHAnsi"/>
          <w:sz w:val="24"/>
        </w:rPr>
        <w:t xml:space="preserve">e nombre des </w:t>
      </w:r>
      <w:r>
        <w:rPr>
          <w:rFonts w:asciiTheme="minorHAnsi" w:hAnsiTheme="minorHAnsi" w:cstheme="minorHAnsi"/>
          <w:sz w:val="24"/>
        </w:rPr>
        <w:t>salariés demandant à mensualiser leur 13</w:t>
      </w:r>
      <w:r w:rsidRPr="00B267FF">
        <w:rPr>
          <w:rFonts w:asciiTheme="minorHAnsi" w:hAnsiTheme="minorHAnsi" w:cstheme="minorHAnsi"/>
          <w:sz w:val="24"/>
          <w:vertAlign w:val="superscript"/>
        </w:rPr>
        <w:t>ème</w:t>
      </w:r>
      <w:r>
        <w:rPr>
          <w:rFonts w:asciiTheme="minorHAnsi" w:hAnsiTheme="minorHAnsi" w:cstheme="minorHAnsi"/>
          <w:sz w:val="24"/>
        </w:rPr>
        <w:t xml:space="preserve"> mois </w:t>
      </w:r>
      <w:r w:rsidR="00FF29E6">
        <w:rPr>
          <w:rFonts w:asciiTheme="minorHAnsi" w:hAnsiTheme="minorHAnsi" w:cstheme="minorHAnsi"/>
          <w:sz w:val="24"/>
        </w:rPr>
        <w:t xml:space="preserve">a encore </w:t>
      </w:r>
      <w:r w:rsidR="00F7421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augmenté significativement </w:t>
      </w:r>
      <w:r w:rsidR="00F74219">
        <w:rPr>
          <w:rFonts w:asciiTheme="minorHAnsi" w:hAnsiTheme="minorHAnsi" w:cstheme="minorHAnsi"/>
          <w:sz w:val="24"/>
        </w:rPr>
        <w:t xml:space="preserve">en 2023, soit </w:t>
      </w:r>
      <w:r w:rsidR="00F74219" w:rsidRPr="00F74219">
        <w:rPr>
          <w:rFonts w:asciiTheme="minorHAnsi" w:hAnsiTheme="minorHAnsi" w:cstheme="minorHAnsi"/>
          <w:b/>
          <w:sz w:val="24"/>
        </w:rPr>
        <w:t>4</w:t>
      </w:r>
      <w:r w:rsidR="00FF29E6">
        <w:rPr>
          <w:rFonts w:asciiTheme="minorHAnsi" w:hAnsiTheme="minorHAnsi" w:cstheme="minorHAnsi"/>
          <w:b/>
          <w:sz w:val="24"/>
        </w:rPr>
        <w:t xml:space="preserve"> </w:t>
      </w:r>
      <w:r w:rsidR="00F74219" w:rsidRPr="00F74219">
        <w:rPr>
          <w:rFonts w:asciiTheme="minorHAnsi" w:hAnsiTheme="minorHAnsi" w:cstheme="minorHAnsi"/>
          <w:b/>
          <w:sz w:val="24"/>
        </w:rPr>
        <w:t>276</w:t>
      </w:r>
      <w:r w:rsidR="00F74219">
        <w:rPr>
          <w:rFonts w:asciiTheme="minorHAnsi" w:hAnsiTheme="minorHAnsi" w:cstheme="minorHAnsi"/>
          <w:sz w:val="24"/>
        </w:rPr>
        <w:t xml:space="preserve"> salariés</w:t>
      </w:r>
      <w:r w:rsidR="00FF29E6">
        <w:rPr>
          <w:rFonts w:asciiTheme="minorHAnsi" w:hAnsiTheme="minorHAnsi" w:cstheme="minorHAnsi"/>
          <w:sz w:val="24"/>
        </w:rPr>
        <w:t xml:space="preserve"> au total contre </w:t>
      </w:r>
      <w:r w:rsidR="00F74219">
        <w:rPr>
          <w:rFonts w:asciiTheme="minorHAnsi" w:hAnsiTheme="minorHAnsi" w:cstheme="minorHAnsi"/>
          <w:sz w:val="24"/>
        </w:rPr>
        <w:t>3 814 salariés en 2022</w:t>
      </w:r>
      <w:r w:rsidR="00FF29E6">
        <w:rPr>
          <w:rFonts w:asciiTheme="minorHAnsi" w:hAnsiTheme="minorHAnsi" w:cstheme="minorHAnsi"/>
          <w:sz w:val="24"/>
        </w:rPr>
        <w:t xml:space="preserve"> et </w:t>
      </w:r>
      <w:r w:rsidR="00F74219">
        <w:rPr>
          <w:rFonts w:asciiTheme="minorHAnsi" w:hAnsiTheme="minorHAnsi" w:cstheme="minorHAnsi"/>
          <w:sz w:val="24"/>
        </w:rPr>
        <w:t xml:space="preserve">3 382 salariés en </w:t>
      </w:r>
      <w:r>
        <w:rPr>
          <w:rFonts w:asciiTheme="minorHAnsi" w:hAnsiTheme="minorHAnsi" w:cstheme="minorHAnsi"/>
          <w:sz w:val="24"/>
        </w:rPr>
        <w:t>2021. Pour la CGT c’est le signe d’une difficulté croissante à faire face aux fins de mois (loye</w:t>
      </w:r>
      <w:r w:rsidR="00905F64">
        <w:rPr>
          <w:rFonts w:asciiTheme="minorHAnsi" w:hAnsiTheme="minorHAnsi" w:cstheme="minorHAnsi"/>
          <w:sz w:val="24"/>
        </w:rPr>
        <w:t>r, alimentation, énergie, etc</w:t>
      </w:r>
      <w:r w:rsidR="00F74219">
        <w:rPr>
          <w:rFonts w:asciiTheme="minorHAnsi" w:hAnsiTheme="minorHAnsi" w:cstheme="minorHAnsi"/>
          <w:sz w:val="24"/>
        </w:rPr>
        <w:t>…</w:t>
      </w:r>
      <w:r w:rsidR="007A422B">
        <w:rPr>
          <w:rFonts w:asciiTheme="minorHAnsi" w:hAnsiTheme="minorHAnsi" w:cstheme="minorHAnsi"/>
          <w:sz w:val="24"/>
        </w:rPr>
        <w:t>) et aussi</w:t>
      </w:r>
      <w:r w:rsidR="00852BD0">
        <w:rPr>
          <w:rFonts w:asciiTheme="minorHAnsi" w:hAnsiTheme="minorHAnsi" w:cstheme="minorHAnsi"/>
          <w:sz w:val="24"/>
        </w:rPr>
        <w:t xml:space="preserve"> pour certains le seul moyen d’accéder à la propriété. </w:t>
      </w:r>
    </w:p>
    <w:p w:rsidR="00B3549E" w:rsidRPr="00B3549E" w:rsidRDefault="00B3549E" w:rsidP="00C71D1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77953" w:rsidRDefault="00F14635" w:rsidP="00C71D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 </w:t>
      </w:r>
      <w:r w:rsidR="00877953">
        <w:rPr>
          <w:rFonts w:asciiTheme="minorHAnsi" w:hAnsiTheme="minorHAnsi" w:cstheme="minorHAnsi"/>
          <w:sz w:val="24"/>
        </w:rPr>
        <w:t>DG</w:t>
      </w:r>
      <w:r>
        <w:rPr>
          <w:rFonts w:asciiTheme="minorHAnsi" w:hAnsiTheme="minorHAnsi" w:cstheme="minorHAnsi"/>
          <w:sz w:val="24"/>
        </w:rPr>
        <w:t>, nous a présenté des planches</w:t>
      </w:r>
      <w:r w:rsidR="00877953">
        <w:rPr>
          <w:rFonts w:asciiTheme="minorHAnsi" w:hAnsiTheme="minorHAnsi" w:cstheme="minorHAnsi"/>
          <w:sz w:val="24"/>
        </w:rPr>
        <w:t xml:space="preserve"> non communiqué au préalable de cette réunion concernant l’évolution de l’indice de l’inflation sur 10 ans.</w:t>
      </w:r>
    </w:p>
    <w:p w:rsidR="00877953" w:rsidRDefault="00905F64" w:rsidP="00C71D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La DG a tenté de jouer de la boule de cristal en avançant une inflation prévue pour 202</w:t>
      </w:r>
      <w:r w:rsidR="00877953">
        <w:rPr>
          <w:rFonts w:asciiTheme="minorHAnsi" w:hAnsiTheme="minorHAnsi" w:cstheme="minorHAnsi"/>
          <w:sz w:val="24"/>
        </w:rPr>
        <w:t>4</w:t>
      </w:r>
      <w:r>
        <w:rPr>
          <w:rFonts w:asciiTheme="minorHAnsi" w:hAnsiTheme="minorHAnsi" w:cstheme="minorHAnsi"/>
          <w:sz w:val="24"/>
        </w:rPr>
        <w:t xml:space="preserve"> à hauteur de </w:t>
      </w:r>
      <w:r w:rsidR="00877953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>,</w:t>
      </w:r>
      <w:r w:rsidR="00877953">
        <w:rPr>
          <w:rFonts w:asciiTheme="minorHAnsi" w:hAnsiTheme="minorHAnsi" w:cstheme="minorHAnsi"/>
          <w:sz w:val="24"/>
        </w:rPr>
        <w:t>4</w:t>
      </w:r>
      <w:r>
        <w:rPr>
          <w:rFonts w:asciiTheme="minorHAnsi" w:hAnsiTheme="minorHAnsi" w:cstheme="minorHAnsi"/>
          <w:sz w:val="24"/>
        </w:rPr>
        <w:t xml:space="preserve"> % selon « </w:t>
      </w:r>
      <w:r w:rsidRPr="00877953">
        <w:rPr>
          <w:rFonts w:asciiTheme="minorHAnsi" w:hAnsiTheme="minorHAnsi" w:cstheme="minorHAnsi"/>
          <w:b/>
          <w:i/>
          <w:sz w:val="24"/>
        </w:rPr>
        <w:t>un consensus d</w:t>
      </w:r>
      <w:r w:rsidR="00D8024D">
        <w:rPr>
          <w:rFonts w:asciiTheme="minorHAnsi" w:hAnsiTheme="minorHAnsi" w:cstheme="minorHAnsi"/>
          <w:b/>
          <w:i/>
          <w:sz w:val="24"/>
        </w:rPr>
        <w:t>’</w:t>
      </w:r>
      <w:r w:rsidRPr="00877953">
        <w:rPr>
          <w:rFonts w:asciiTheme="minorHAnsi" w:hAnsiTheme="minorHAnsi" w:cstheme="minorHAnsi"/>
          <w:b/>
          <w:i/>
          <w:sz w:val="24"/>
        </w:rPr>
        <w:t>économistes</w:t>
      </w:r>
      <w:r>
        <w:rPr>
          <w:rFonts w:asciiTheme="minorHAnsi" w:hAnsiTheme="minorHAnsi" w:cstheme="minorHAnsi"/>
          <w:sz w:val="24"/>
        </w:rPr>
        <w:t xml:space="preserve"> ». </w:t>
      </w:r>
    </w:p>
    <w:p w:rsidR="00E060E3" w:rsidRDefault="00905F64" w:rsidP="00C71D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 lui a demandé si elle avait trouvé ces chiffres dans le Figaro, pas de réponse.</w:t>
      </w:r>
    </w:p>
    <w:p w:rsidR="00B3549E" w:rsidRPr="00B3549E" w:rsidRDefault="00B3549E" w:rsidP="00C71D1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501A7" w:rsidRDefault="00E060E3" w:rsidP="00C71D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 m</w:t>
      </w:r>
      <w:r w:rsidR="00530EEF">
        <w:rPr>
          <w:rFonts w:asciiTheme="minorHAnsi" w:hAnsiTheme="minorHAnsi" w:cstheme="minorHAnsi"/>
          <w:sz w:val="24"/>
        </w:rPr>
        <w:t>ê</w:t>
      </w:r>
      <w:r>
        <w:rPr>
          <w:rFonts w:asciiTheme="minorHAnsi" w:hAnsiTheme="minorHAnsi" w:cstheme="minorHAnsi"/>
          <w:sz w:val="24"/>
        </w:rPr>
        <w:t xml:space="preserve">me, une comparaison </w:t>
      </w:r>
      <w:r w:rsidR="00530EEF">
        <w:rPr>
          <w:rFonts w:asciiTheme="minorHAnsi" w:hAnsiTheme="minorHAnsi" w:cstheme="minorHAnsi"/>
          <w:sz w:val="24"/>
        </w:rPr>
        <w:t xml:space="preserve">sur les 3 dernières années, </w:t>
      </w:r>
      <w:r>
        <w:rPr>
          <w:rFonts w:asciiTheme="minorHAnsi" w:hAnsiTheme="minorHAnsi" w:cstheme="minorHAnsi"/>
          <w:sz w:val="24"/>
        </w:rPr>
        <w:t xml:space="preserve">des niveaux de NAO </w:t>
      </w:r>
      <w:r w:rsidR="00530EEF">
        <w:rPr>
          <w:rFonts w:asciiTheme="minorHAnsi" w:hAnsiTheme="minorHAnsi" w:cstheme="minorHAnsi"/>
          <w:sz w:val="24"/>
        </w:rPr>
        <w:t xml:space="preserve">chez </w:t>
      </w:r>
      <w:r>
        <w:rPr>
          <w:rFonts w:asciiTheme="minorHAnsi" w:hAnsiTheme="minorHAnsi" w:cstheme="minorHAnsi"/>
          <w:sz w:val="24"/>
        </w:rPr>
        <w:t>SAFRAN, THALES</w:t>
      </w:r>
      <w:r w:rsidR="00530EEF">
        <w:rPr>
          <w:rFonts w:asciiTheme="minorHAnsi" w:hAnsiTheme="minorHAnsi" w:cstheme="minorHAnsi"/>
          <w:sz w:val="24"/>
        </w:rPr>
        <w:t xml:space="preserve"> et </w:t>
      </w:r>
      <w:r>
        <w:rPr>
          <w:rFonts w:asciiTheme="minorHAnsi" w:hAnsiTheme="minorHAnsi" w:cstheme="minorHAnsi"/>
          <w:sz w:val="24"/>
        </w:rPr>
        <w:t>AIRBUS, espérant nous démontrer que nous n’avions pas à nous plaindre</w:t>
      </w:r>
      <w:r w:rsidR="00530EEF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puisque nous avions plus que nos petits camarades du GIFAS ! </w:t>
      </w:r>
    </w:p>
    <w:p w:rsidR="00B3549E" w:rsidRPr="00B3549E" w:rsidRDefault="00B3549E" w:rsidP="00C71D1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501A7" w:rsidRDefault="00C501A7" w:rsidP="00C71D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La DG est ensuite montée au créneau en se plaignant « </w:t>
      </w:r>
      <w:r w:rsidRPr="00D8024D">
        <w:rPr>
          <w:rFonts w:asciiTheme="minorHAnsi" w:hAnsiTheme="minorHAnsi" w:cstheme="minorHAnsi"/>
          <w:b/>
          <w:i/>
          <w:sz w:val="24"/>
        </w:rPr>
        <w:t>nos résultats d’exploitation sont plus faible que ceux des autres acteurs du marché Aéronautique</w:t>
      </w:r>
      <w:r>
        <w:rPr>
          <w:rFonts w:asciiTheme="minorHAnsi" w:hAnsiTheme="minorHAnsi" w:cstheme="minorHAnsi"/>
          <w:sz w:val="24"/>
        </w:rPr>
        <w:t> ».</w:t>
      </w:r>
    </w:p>
    <w:p w:rsidR="00B3549E" w:rsidRPr="00B3549E" w:rsidRDefault="00B3549E" w:rsidP="00C71D1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152D1" w:rsidRDefault="00C501A7" w:rsidP="00C71D1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Pour la CGT</w:t>
      </w:r>
      <w:r w:rsidR="00530EEF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s’il est vrai qu’il faut se poser les bonnes questions, les salariés ne sont aucunement responsables</w:t>
      </w:r>
      <w:r w:rsidR="00D03EB6">
        <w:rPr>
          <w:rFonts w:asciiTheme="minorHAnsi" w:hAnsiTheme="minorHAnsi" w:cstheme="minorHAnsi"/>
          <w:sz w:val="24"/>
        </w:rPr>
        <w:t xml:space="preserve"> des retards de livraisons, </w:t>
      </w:r>
      <w:r w:rsidR="00D8024D">
        <w:rPr>
          <w:rFonts w:asciiTheme="minorHAnsi" w:hAnsiTheme="minorHAnsi" w:cstheme="minorHAnsi"/>
          <w:sz w:val="24"/>
        </w:rPr>
        <w:t>d</w:t>
      </w:r>
      <w:r w:rsidR="00D03EB6">
        <w:rPr>
          <w:rFonts w:asciiTheme="minorHAnsi" w:hAnsiTheme="minorHAnsi" w:cstheme="minorHAnsi"/>
          <w:sz w:val="24"/>
        </w:rPr>
        <w:t xml:space="preserve">es mauvais choix industriels, </w:t>
      </w:r>
      <w:r w:rsidR="00D8024D">
        <w:rPr>
          <w:rFonts w:asciiTheme="minorHAnsi" w:hAnsiTheme="minorHAnsi" w:cstheme="minorHAnsi"/>
          <w:sz w:val="24"/>
        </w:rPr>
        <w:t xml:space="preserve">des </w:t>
      </w:r>
      <w:r w:rsidR="00D03EB6">
        <w:rPr>
          <w:rFonts w:asciiTheme="minorHAnsi" w:hAnsiTheme="minorHAnsi" w:cstheme="minorHAnsi"/>
          <w:sz w:val="24"/>
        </w:rPr>
        <w:t>cadences mal anticipées</w:t>
      </w:r>
      <w:r w:rsidR="00AD7208">
        <w:rPr>
          <w:rFonts w:asciiTheme="minorHAnsi" w:hAnsiTheme="minorHAnsi" w:cstheme="minorHAnsi"/>
          <w:sz w:val="24"/>
        </w:rPr>
        <w:t>,</w:t>
      </w:r>
      <w:r w:rsidR="00D03EB6">
        <w:rPr>
          <w:rFonts w:asciiTheme="minorHAnsi" w:hAnsiTheme="minorHAnsi" w:cstheme="minorHAnsi"/>
          <w:sz w:val="24"/>
        </w:rPr>
        <w:t xml:space="preserve"> </w:t>
      </w:r>
      <w:r w:rsidR="00D8024D">
        <w:rPr>
          <w:rFonts w:asciiTheme="minorHAnsi" w:hAnsiTheme="minorHAnsi" w:cstheme="minorHAnsi"/>
          <w:sz w:val="24"/>
        </w:rPr>
        <w:t>d</w:t>
      </w:r>
      <w:r w:rsidR="00AA3551">
        <w:rPr>
          <w:rFonts w:asciiTheme="minorHAnsi" w:hAnsiTheme="minorHAnsi" w:cstheme="minorHAnsi"/>
          <w:sz w:val="24"/>
        </w:rPr>
        <w:t>’une so</w:t>
      </w:r>
      <w:r w:rsidR="00D03EB6">
        <w:rPr>
          <w:rFonts w:asciiTheme="minorHAnsi" w:hAnsiTheme="minorHAnsi" w:cstheme="minorHAnsi"/>
          <w:sz w:val="24"/>
        </w:rPr>
        <w:t>us-traitance</w:t>
      </w:r>
      <w:r w:rsidR="00DA316B">
        <w:rPr>
          <w:rFonts w:asciiTheme="minorHAnsi" w:hAnsiTheme="minorHAnsi" w:cstheme="minorHAnsi"/>
          <w:sz w:val="24"/>
        </w:rPr>
        <w:t xml:space="preserve"> </w:t>
      </w:r>
      <w:r w:rsidR="00AA3551">
        <w:rPr>
          <w:rFonts w:asciiTheme="minorHAnsi" w:hAnsiTheme="minorHAnsi" w:cstheme="minorHAnsi"/>
          <w:sz w:val="24"/>
        </w:rPr>
        <w:t xml:space="preserve">In-Situ en trop grand nombre </w:t>
      </w:r>
      <w:r w:rsidR="00DA316B">
        <w:rPr>
          <w:rFonts w:asciiTheme="minorHAnsi" w:hAnsiTheme="minorHAnsi" w:cstheme="minorHAnsi"/>
          <w:sz w:val="24"/>
        </w:rPr>
        <w:t>et</w:t>
      </w:r>
      <w:r w:rsidR="00AA3551">
        <w:rPr>
          <w:rFonts w:asciiTheme="minorHAnsi" w:hAnsiTheme="minorHAnsi" w:cstheme="minorHAnsi"/>
          <w:sz w:val="24"/>
        </w:rPr>
        <w:t xml:space="preserve"> d’une </w:t>
      </w:r>
      <w:r w:rsidR="00D03EB6">
        <w:rPr>
          <w:rFonts w:asciiTheme="minorHAnsi" w:hAnsiTheme="minorHAnsi" w:cstheme="minorHAnsi"/>
          <w:sz w:val="24"/>
        </w:rPr>
        <w:t>Supply-Chain</w:t>
      </w:r>
      <w:r w:rsidR="00AD7208">
        <w:rPr>
          <w:rFonts w:asciiTheme="minorHAnsi" w:hAnsiTheme="minorHAnsi" w:cstheme="minorHAnsi"/>
          <w:sz w:val="24"/>
        </w:rPr>
        <w:t xml:space="preserve"> dépassée</w:t>
      </w:r>
      <w:r w:rsidR="00DA316B">
        <w:rPr>
          <w:rFonts w:asciiTheme="minorHAnsi" w:hAnsiTheme="minorHAnsi" w:cstheme="minorHAnsi"/>
          <w:sz w:val="24"/>
        </w:rPr>
        <w:t xml:space="preserve"> par les commandes, tout cela </w:t>
      </w:r>
      <w:r w:rsidR="00AD7208">
        <w:rPr>
          <w:rFonts w:asciiTheme="minorHAnsi" w:hAnsiTheme="minorHAnsi" w:cstheme="minorHAnsi"/>
          <w:sz w:val="24"/>
        </w:rPr>
        <w:t>coû</w:t>
      </w:r>
      <w:r w:rsidR="00D03EB6">
        <w:rPr>
          <w:rFonts w:asciiTheme="minorHAnsi" w:hAnsiTheme="minorHAnsi" w:cstheme="minorHAnsi"/>
          <w:sz w:val="24"/>
        </w:rPr>
        <w:t>t</w:t>
      </w:r>
      <w:r w:rsidR="00DA316B">
        <w:rPr>
          <w:rFonts w:asciiTheme="minorHAnsi" w:hAnsiTheme="minorHAnsi" w:cstheme="minorHAnsi"/>
          <w:sz w:val="24"/>
        </w:rPr>
        <w:t>a</w:t>
      </w:r>
      <w:r w:rsidR="00D03EB6">
        <w:rPr>
          <w:rFonts w:asciiTheme="minorHAnsi" w:hAnsiTheme="minorHAnsi" w:cstheme="minorHAnsi"/>
          <w:sz w:val="24"/>
        </w:rPr>
        <w:t xml:space="preserve">nt à </w:t>
      </w:r>
      <w:r w:rsidR="00D03EB6" w:rsidRPr="00D03EB6">
        <w:rPr>
          <w:rFonts w:asciiTheme="minorHAnsi" w:hAnsiTheme="minorHAnsi" w:cstheme="minorHAnsi"/>
          <w:sz w:val="24"/>
        </w:rPr>
        <w:t>Dassault-Aviation</w:t>
      </w:r>
      <w:r w:rsidR="00D03EB6">
        <w:rPr>
          <w:rFonts w:asciiTheme="minorHAnsi" w:hAnsiTheme="minorHAnsi" w:cstheme="minorHAnsi"/>
          <w:sz w:val="24"/>
        </w:rPr>
        <w:t xml:space="preserve"> bien plus cher que ses salariés</w:t>
      </w:r>
      <w:r w:rsidR="00AD7208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</w:p>
    <w:p w:rsidR="007B16B7" w:rsidRPr="00C71D19" w:rsidRDefault="007B16B7" w:rsidP="00C71D1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A3551" w:rsidRDefault="00AD7208" w:rsidP="00AA3551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AA3551">
        <w:rPr>
          <w:rFonts w:asciiTheme="minorHAnsi" w:hAnsiTheme="minorHAnsi" w:cstheme="minorHAnsi"/>
          <w:b/>
          <w:color w:val="C00000"/>
          <w:sz w:val="28"/>
          <w:szCs w:val="28"/>
        </w:rPr>
        <w:t>L</w:t>
      </w:r>
      <w:r w:rsidR="00905F64" w:rsidRPr="00AA3551">
        <w:rPr>
          <w:rFonts w:asciiTheme="minorHAnsi" w:hAnsiTheme="minorHAnsi" w:cstheme="minorHAnsi"/>
          <w:b/>
          <w:color w:val="C00000"/>
          <w:sz w:val="28"/>
          <w:szCs w:val="28"/>
        </w:rPr>
        <w:t>a D</w:t>
      </w:r>
      <w:r w:rsidR="00E060E3" w:rsidRPr="00AA3551">
        <w:rPr>
          <w:rFonts w:asciiTheme="minorHAnsi" w:hAnsiTheme="minorHAnsi" w:cstheme="minorHAnsi"/>
          <w:b/>
          <w:color w:val="C00000"/>
          <w:sz w:val="28"/>
          <w:szCs w:val="28"/>
        </w:rPr>
        <w:t>G</w:t>
      </w:r>
      <w:r w:rsidRPr="00AA355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a planté le décor</w:t>
      </w:r>
      <w:r w:rsidR="00E060E3" w:rsidRPr="00AA3551">
        <w:rPr>
          <w:rFonts w:asciiTheme="minorHAnsi" w:hAnsiTheme="minorHAnsi" w:cstheme="minorHAnsi"/>
          <w:b/>
          <w:color w:val="C00000"/>
          <w:sz w:val="28"/>
          <w:szCs w:val="28"/>
        </w:rPr>
        <w:t>,</w:t>
      </w:r>
      <w:r w:rsidR="00905F64" w:rsidRPr="00AA355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Pr="00AA355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pour </w:t>
      </w:r>
      <w:r w:rsidR="00905F64" w:rsidRPr="00AA355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nous </w:t>
      </w:r>
      <w:r w:rsidRPr="00AA3551">
        <w:rPr>
          <w:rFonts w:asciiTheme="minorHAnsi" w:hAnsiTheme="minorHAnsi" w:cstheme="minorHAnsi"/>
          <w:b/>
          <w:color w:val="C00000"/>
          <w:sz w:val="28"/>
          <w:szCs w:val="28"/>
        </w:rPr>
        <w:t>emmener</w:t>
      </w:r>
      <w:r w:rsidR="007A422B" w:rsidRPr="00AA355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vers de</w:t>
      </w:r>
      <w:r w:rsidRPr="00AA3551">
        <w:rPr>
          <w:rFonts w:asciiTheme="minorHAnsi" w:hAnsiTheme="minorHAnsi" w:cstheme="minorHAnsi"/>
          <w:b/>
          <w:color w:val="C00000"/>
          <w:sz w:val="28"/>
          <w:szCs w:val="28"/>
        </w:rPr>
        <w:t>s</w:t>
      </w:r>
      <w:r w:rsidR="007A422B" w:rsidRPr="00AA355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NAO</w:t>
      </w:r>
      <w:r w:rsidRPr="00AA355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</w:p>
    <w:p w:rsidR="000F3988" w:rsidRPr="00AA3551" w:rsidRDefault="00AD7208" w:rsidP="00AA35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AA3551">
        <w:rPr>
          <w:rFonts w:asciiTheme="minorHAnsi" w:hAnsiTheme="minorHAnsi" w:cstheme="minorHAnsi"/>
          <w:b/>
          <w:color w:val="C00000"/>
          <w:sz w:val="28"/>
          <w:szCs w:val="28"/>
        </w:rPr>
        <w:t>d’un</w:t>
      </w:r>
      <w:proofErr w:type="gramEnd"/>
      <w:r w:rsidRPr="00AA355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très faible niveau</w:t>
      </w:r>
      <w:r w:rsidR="007A422B" w:rsidRPr="00AA355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0F3988" w:rsidRPr="00AA3551">
        <w:rPr>
          <w:rFonts w:asciiTheme="minorHAnsi" w:hAnsiTheme="minorHAnsi" w:cstheme="minorHAnsi"/>
          <w:b/>
          <w:color w:val="C00000"/>
          <w:sz w:val="28"/>
          <w:szCs w:val="28"/>
        </w:rPr>
        <w:t>!</w:t>
      </w:r>
    </w:p>
    <w:p w:rsidR="000F3988" w:rsidRPr="000F3988" w:rsidRDefault="000F3988" w:rsidP="00C71D1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87F55" w:rsidRDefault="00B267FF" w:rsidP="0018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3988">
        <w:rPr>
          <w:rFonts w:asciiTheme="minorHAnsi" w:hAnsiTheme="minorHAnsi" w:cstheme="minorHAnsi"/>
          <w:b/>
          <w:sz w:val="28"/>
          <w:szCs w:val="28"/>
        </w:rPr>
        <w:t xml:space="preserve">La conclusion de cette première réunion NAO </w:t>
      </w:r>
      <w:r w:rsidR="00587F55">
        <w:rPr>
          <w:rFonts w:asciiTheme="minorHAnsi" w:hAnsiTheme="minorHAnsi" w:cstheme="minorHAnsi"/>
          <w:b/>
          <w:sz w:val="28"/>
          <w:szCs w:val="28"/>
        </w:rPr>
        <w:t>est simple</w:t>
      </w:r>
      <w:r w:rsidR="00DA316B">
        <w:rPr>
          <w:rFonts w:asciiTheme="minorHAnsi" w:hAnsiTheme="minorHAnsi" w:cstheme="minorHAnsi"/>
          <w:b/>
          <w:sz w:val="28"/>
          <w:szCs w:val="28"/>
        </w:rPr>
        <w:t> !</w:t>
      </w:r>
    </w:p>
    <w:p w:rsidR="00B267FF" w:rsidRPr="00187CDF" w:rsidRDefault="00587F55" w:rsidP="00DA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Pour la CGT se baser sur l’inflation de l’INSEE de 3,5% ne reflète pas la réalité du quotidien des salariés. Chacun peut le constater les prix ne cessent d’augmenter, il suffit d’aller faire ses courses pour le vérifier.</w:t>
      </w:r>
      <w:r w:rsidR="00D8024D">
        <w:rPr>
          <w:rFonts w:asciiTheme="minorHAnsi" w:hAnsiTheme="minorHAnsi" w:cstheme="minorHAnsi"/>
          <w:b/>
          <w:sz w:val="28"/>
          <w:szCs w:val="28"/>
        </w:rPr>
        <w:t xml:space="preserve"> La teneur du discours de la </w:t>
      </w:r>
      <w:r w:rsidR="00DA316B">
        <w:rPr>
          <w:rFonts w:asciiTheme="minorHAnsi" w:hAnsiTheme="minorHAnsi" w:cstheme="minorHAnsi"/>
          <w:b/>
          <w:sz w:val="28"/>
          <w:szCs w:val="28"/>
        </w:rPr>
        <w:t>DG</w:t>
      </w:r>
      <w:r w:rsidR="00D8024D">
        <w:rPr>
          <w:rFonts w:asciiTheme="minorHAnsi" w:hAnsiTheme="minorHAnsi" w:cstheme="minorHAnsi"/>
          <w:b/>
          <w:sz w:val="28"/>
          <w:szCs w:val="28"/>
        </w:rPr>
        <w:t xml:space="preserve"> ne présage rien de bon</w:t>
      </w:r>
      <w:r w:rsidR="00DA316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0F3988" w:rsidRPr="00187CDF">
        <w:rPr>
          <w:rFonts w:asciiTheme="minorHAnsi" w:hAnsiTheme="minorHAnsi" w:cstheme="minorHAnsi"/>
          <w:b/>
          <w:sz w:val="28"/>
          <w:szCs w:val="28"/>
        </w:rPr>
        <w:t xml:space="preserve">alors que </w:t>
      </w:r>
      <w:r w:rsidR="00187CDF" w:rsidRPr="00187CDF">
        <w:rPr>
          <w:rFonts w:asciiTheme="minorHAnsi" w:hAnsiTheme="minorHAnsi" w:cstheme="minorHAnsi"/>
          <w:b/>
          <w:sz w:val="28"/>
          <w:szCs w:val="28"/>
        </w:rPr>
        <w:t xml:space="preserve">les plans de charge industriels sont assurés pour la décennie à venir, que de nouveaux contrats </w:t>
      </w:r>
      <w:r w:rsidR="00840D9B">
        <w:rPr>
          <w:rFonts w:asciiTheme="minorHAnsi" w:hAnsiTheme="minorHAnsi" w:cstheme="minorHAnsi"/>
          <w:b/>
          <w:sz w:val="28"/>
          <w:szCs w:val="28"/>
        </w:rPr>
        <w:t xml:space="preserve">France et indonésiens </w:t>
      </w:r>
      <w:r w:rsidR="00492CC0">
        <w:rPr>
          <w:rFonts w:asciiTheme="minorHAnsi" w:hAnsiTheme="minorHAnsi" w:cstheme="minorHAnsi"/>
          <w:b/>
          <w:sz w:val="28"/>
          <w:szCs w:val="28"/>
        </w:rPr>
        <w:t>sont tombé</w:t>
      </w:r>
      <w:r w:rsidR="00D8024D">
        <w:rPr>
          <w:rFonts w:asciiTheme="minorHAnsi" w:hAnsiTheme="minorHAnsi" w:cstheme="minorHAnsi"/>
          <w:b/>
          <w:sz w:val="28"/>
          <w:szCs w:val="28"/>
        </w:rPr>
        <w:t>s,</w:t>
      </w:r>
      <w:r w:rsidR="00840D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316B">
        <w:rPr>
          <w:rFonts w:asciiTheme="minorHAnsi" w:hAnsiTheme="minorHAnsi" w:cstheme="minorHAnsi"/>
          <w:b/>
          <w:sz w:val="28"/>
          <w:szCs w:val="28"/>
        </w:rPr>
        <w:t xml:space="preserve">que </w:t>
      </w:r>
      <w:r w:rsidR="00840D9B">
        <w:rPr>
          <w:rFonts w:asciiTheme="minorHAnsi" w:hAnsiTheme="minorHAnsi" w:cstheme="minorHAnsi"/>
          <w:b/>
          <w:sz w:val="28"/>
          <w:szCs w:val="28"/>
        </w:rPr>
        <w:t xml:space="preserve">d’autres devraient </w:t>
      </w:r>
      <w:r w:rsidR="009E5996" w:rsidRPr="00187CDF">
        <w:rPr>
          <w:rFonts w:asciiTheme="minorHAnsi" w:hAnsiTheme="minorHAnsi" w:cstheme="minorHAnsi"/>
          <w:b/>
          <w:sz w:val="28"/>
          <w:szCs w:val="28"/>
        </w:rPr>
        <w:t>in</w:t>
      </w:r>
      <w:r w:rsidR="009E5996">
        <w:rPr>
          <w:rFonts w:asciiTheme="minorHAnsi" w:hAnsiTheme="minorHAnsi" w:cstheme="minorHAnsi"/>
          <w:b/>
          <w:sz w:val="28"/>
          <w:szCs w:val="28"/>
        </w:rPr>
        <w:t>c</w:t>
      </w:r>
      <w:r w:rsidR="009E5996" w:rsidRPr="00187CDF">
        <w:rPr>
          <w:rFonts w:asciiTheme="minorHAnsi" w:hAnsiTheme="minorHAnsi" w:cstheme="minorHAnsi"/>
          <w:b/>
          <w:sz w:val="28"/>
          <w:szCs w:val="28"/>
        </w:rPr>
        <w:t>e</w:t>
      </w:r>
      <w:r w:rsidR="009E5996">
        <w:rPr>
          <w:rFonts w:asciiTheme="minorHAnsi" w:hAnsiTheme="minorHAnsi" w:cstheme="minorHAnsi"/>
          <w:b/>
          <w:sz w:val="28"/>
          <w:szCs w:val="28"/>
        </w:rPr>
        <w:t>ss</w:t>
      </w:r>
      <w:r w:rsidR="009E5996" w:rsidRPr="00187CDF">
        <w:rPr>
          <w:rFonts w:asciiTheme="minorHAnsi" w:hAnsiTheme="minorHAnsi" w:cstheme="minorHAnsi"/>
          <w:b/>
          <w:sz w:val="28"/>
          <w:szCs w:val="28"/>
        </w:rPr>
        <w:t>amment</w:t>
      </w:r>
      <w:r w:rsidR="00187CDF" w:rsidRPr="00187C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0D9B">
        <w:rPr>
          <w:rFonts w:asciiTheme="minorHAnsi" w:hAnsiTheme="minorHAnsi" w:cstheme="minorHAnsi"/>
          <w:b/>
          <w:sz w:val="28"/>
          <w:szCs w:val="28"/>
        </w:rPr>
        <w:t>suivre</w:t>
      </w:r>
      <w:r w:rsidR="00840D9B" w:rsidRPr="00187C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8024D">
        <w:rPr>
          <w:rFonts w:asciiTheme="minorHAnsi" w:hAnsiTheme="minorHAnsi" w:cstheme="minorHAnsi"/>
          <w:b/>
          <w:sz w:val="28"/>
          <w:szCs w:val="28"/>
        </w:rPr>
        <w:t xml:space="preserve">et </w:t>
      </w:r>
      <w:r w:rsidR="00DA316B">
        <w:rPr>
          <w:rFonts w:asciiTheme="minorHAnsi" w:hAnsiTheme="minorHAnsi" w:cstheme="minorHAnsi"/>
          <w:b/>
          <w:sz w:val="28"/>
          <w:szCs w:val="28"/>
        </w:rPr>
        <w:t>que</w:t>
      </w:r>
      <w:r w:rsidR="00187CDF" w:rsidRPr="00187CDF">
        <w:rPr>
          <w:rFonts w:asciiTheme="minorHAnsi" w:hAnsiTheme="minorHAnsi" w:cstheme="minorHAnsi"/>
          <w:b/>
          <w:sz w:val="28"/>
          <w:szCs w:val="28"/>
        </w:rPr>
        <w:t xml:space="preserve"> les finances de l’entreprise sont plus que florissantes.</w:t>
      </w:r>
    </w:p>
    <w:sectPr w:rsidR="00B267FF" w:rsidRPr="00187CDF" w:rsidSect="0010556A">
      <w:headerReference w:type="default" r:id="rId8"/>
      <w:pgSz w:w="11906" w:h="16838"/>
      <w:pgMar w:top="28" w:right="1418" w:bottom="42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DB" w:rsidRDefault="00952ADB" w:rsidP="0088567E">
      <w:r>
        <w:separator/>
      </w:r>
    </w:p>
  </w:endnote>
  <w:endnote w:type="continuationSeparator" w:id="0">
    <w:p w:rsidR="00952ADB" w:rsidRDefault="00952ADB" w:rsidP="0088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DB" w:rsidRDefault="00952ADB" w:rsidP="0088567E">
      <w:r>
        <w:separator/>
      </w:r>
    </w:p>
  </w:footnote>
  <w:footnote w:type="continuationSeparator" w:id="0">
    <w:p w:rsidR="00952ADB" w:rsidRDefault="00952ADB" w:rsidP="0088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82" w:rsidRDefault="00DF6B74" w:rsidP="0090363A">
    <w:pPr>
      <w:pStyle w:val="En-tte"/>
      <w:spacing w:line="20" w:lineRule="exac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-1202055</wp:posOffset>
          </wp:positionH>
          <wp:positionV relativeFrom="paragraph">
            <wp:posOffset>140970</wp:posOffset>
          </wp:positionV>
          <wp:extent cx="962025" cy="9334500"/>
          <wp:effectExtent l="0" t="0" r="0" b="0"/>
          <wp:wrapTight wrapText="bothSides">
            <wp:wrapPolygon edited="0">
              <wp:start x="0" y="0"/>
              <wp:lineTo x="0" y="21556"/>
              <wp:lineTo x="21386" y="21556"/>
              <wp:lineTo x="21386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526"/>
    <w:multiLevelType w:val="hybridMultilevel"/>
    <w:tmpl w:val="D64CD6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C42"/>
    <w:multiLevelType w:val="hybridMultilevel"/>
    <w:tmpl w:val="EBA6C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6AF7"/>
    <w:multiLevelType w:val="hybridMultilevel"/>
    <w:tmpl w:val="AE688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6B85"/>
    <w:multiLevelType w:val="hybridMultilevel"/>
    <w:tmpl w:val="1144D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5EBD"/>
    <w:multiLevelType w:val="hybridMultilevel"/>
    <w:tmpl w:val="9BACA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FDC"/>
    <w:multiLevelType w:val="hybridMultilevel"/>
    <w:tmpl w:val="C4326C7E"/>
    <w:lvl w:ilvl="0" w:tplc="82EE80DE">
      <w:start w:val="1"/>
      <w:numFmt w:val="decimal"/>
      <w:lvlText w:val="%1."/>
      <w:lvlJc w:val="left"/>
      <w:pPr>
        <w:ind w:left="862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2C22E8"/>
    <w:multiLevelType w:val="hybridMultilevel"/>
    <w:tmpl w:val="A71A0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2434"/>
    <w:multiLevelType w:val="hybridMultilevel"/>
    <w:tmpl w:val="37D43C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7AC3"/>
    <w:multiLevelType w:val="hybridMultilevel"/>
    <w:tmpl w:val="A28C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F51EE"/>
    <w:multiLevelType w:val="hybridMultilevel"/>
    <w:tmpl w:val="9CD401F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8E7971"/>
    <w:multiLevelType w:val="hybridMultilevel"/>
    <w:tmpl w:val="8FFC2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B174D"/>
    <w:multiLevelType w:val="hybridMultilevel"/>
    <w:tmpl w:val="11345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5098C"/>
    <w:multiLevelType w:val="hybridMultilevel"/>
    <w:tmpl w:val="893C2820"/>
    <w:lvl w:ilvl="0" w:tplc="18304A80">
      <w:start w:val="7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359B2"/>
    <w:multiLevelType w:val="hybridMultilevel"/>
    <w:tmpl w:val="8912F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B3F49"/>
    <w:multiLevelType w:val="hybridMultilevel"/>
    <w:tmpl w:val="21BA2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6F4C"/>
    <w:multiLevelType w:val="hybridMultilevel"/>
    <w:tmpl w:val="0A6C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2FE8"/>
    <w:multiLevelType w:val="hybridMultilevel"/>
    <w:tmpl w:val="441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5C9D"/>
    <w:multiLevelType w:val="hybridMultilevel"/>
    <w:tmpl w:val="56E87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60D74"/>
    <w:multiLevelType w:val="hybridMultilevel"/>
    <w:tmpl w:val="82A8F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507CD"/>
    <w:multiLevelType w:val="hybridMultilevel"/>
    <w:tmpl w:val="89E817C8"/>
    <w:lvl w:ilvl="0" w:tplc="4F8E5A66">
      <w:numFmt w:val="bullet"/>
      <w:lvlText w:val="-"/>
      <w:lvlJc w:val="left"/>
      <w:pPr>
        <w:ind w:left="644" w:hanging="360"/>
      </w:pPr>
      <w:rPr>
        <w:rFonts w:ascii="Calibri" w:eastAsia="Yu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9A63490"/>
    <w:multiLevelType w:val="hybridMultilevel"/>
    <w:tmpl w:val="71925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9"/>
  </w:num>
  <w:num w:numId="5">
    <w:abstractNumId w:val="5"/>
  </w:num>
  <w:num w:numId="6">
    <w:abstractNumId w:val="17"/>
  </w:num>
  <w:num w:numId="7">
    <w:abstractNumId w:val="0"/>
  </w:num>
  <w:num w:numId="8">
    <w:abstractNumId w:val="18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2"/>
  </w:num>
  <w:num w:numId="17">
    <w:abstractNumId w:val="14"/>
  </w:num>
  <w:num w:numId="18">
    <w:abstractNumId w:val="15"/>
  </w:num>
  <w:num w:numId="19">
    <w:abstractNumId w:val="1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D"/>
    <w:rsid w:val="0000452A"/>
    <w:rsid w:val="00006ADF"/>
    <w:rsid w:val="00021B2C"/>
    <w:rsid w:val="000260CA"/>
    <w:rsid w:val="0004230D"/>
    <w:rsid w:val="0004581A"/>
    <w:rsid w:val="00051FAF"/>
    <w:rsid w:val="00061FD8"/>
    <w:rsid w:val="00065C46"/>
    <w:rsid w:val="000716A6"/>
    <w:rsid w:val="0009348C"/>
    <w:rsid w:val="00093527"/>
    <w:rsid w:val="000944AD"/>
    <w:rsid w:val="00096E1F"/>
    <w:rsid w:val="000A57F3"/>
    <w:rsid w:val="000A6EB1"/>
    <w:rsid w:val="000B4DFE"/>
    <w:rsid w:val="000C0232"/>
    <w:rsid w:val="000C30A0"/>
    <w:rsid w:val="000D5D2D"/>
    <w:rsid w:val="000E61E7"/>
    <w:rsid w:val="000F3988"/>
    <w:rsid w:val="000F73D0"/>
    <w:rsid w:val="0010164C"/>
    <w:rsid w:val="00103E4B"/>
    <w:rsid w:val="0010556A"/>
    <w:rsid w:val="001068A9"/>
    <w:rsid w:val="00107204"/>
    <w:rsid w:val="0011114C"/>
    <w:rsid w:val="00122BF2"/>
    <w:rsid w:val="001300F7"/>
    <w:rsid w:val="00132A5C"/>
    <w:rsid w:val="001367BC"/>
    <w:rsid w:val="00154941"/>
    <w:rsid w:val="00172CCF"/>
    <w:rsid w:val="0017591A"/>
    <w:rsid w:val="00187CDF"/>
    <w:rsid w:val="00192A82"/>
    <w:rsid w:val="001938B4"/>
    <w:rsid w:val="001A3606"/>
    <w:rsid w:val="001A7A40"/>
    <w:rsid w:val="001A7E21"/>
    <w:rsid w:val="001B43CD"/>
    <w:rsid w:val="001D2819"/>
    <w:rsid w:val="001E16AF"/>
    <w:rsid w:val="001F1FB9"/>
    <w:rsid w:val="001F2530"/>
    <w:rsid w:val="00204C53"/>
    <w:rsid w:val="00206FDA"/>
    <w:rsid w:val="0022110C"/>
    <w:rsid w:val="00223B64"/>
    <w:rsid w:val="00233E10"/>
    <w:rsid w:val="002447B9"/>
    <w:rsid w:val="00250A52"/>
    <w:rsid w:val="002959C1"/>
    <w:rsid w:val="002968F4"/>
    <w:rsid w:val="002A0AFE"/>
    <w:rsid w:val="002A5BE2"/>
    <w:rsid w:val="002B2F29"/>
    <w:rsid w:val="002B7926"/>
    <w:rsid w:val="002D0241"/>
    <w:rsid w:val="002D17E8"/>
    <w:rsid w:val="002D1AD8"/>
    <w:rsid w:val="002F0272"/>
    <w:rsid w:val="00313BAF"/>
    <w:rsid w:val="00325348"/>
    <w:rsid w:val="00331092"/>
    <w:rsid w:val="00334E6C"/>
    <w:rsid w:val="00340EBC"/>
    <w:rsid w:val="00341EAC"/>
    <w:rsid w:val="0034280C"/>
    <w:rsid w:val="00370F97"/>
    <w:rsid w:val="00371837"/>
    <w:rsid w:val="00380373"/>
    <w:rsid w:val="00381A17"/>
    <w:rsid w:val="003841CB"/>
    <w:rsid w:val="0038570A"/>
    <w:rsid w:val="0039773D"/>
    <w:rsid w:val="003B5DB6"/>
    <w:rsid w:val="003C18E4"/>
    <w:rsid w:val="003C36BA"/>
    <w:rsid w:val="003C4FA1"/>
    <w:rsid w:val="003D1EEA"/>
    <w:rsid w:val="003D2C1B"/>
    <w:rsid w:val="003D327C"/>
    <w:rsid w:val="003D5F66"/>
    <w:rsid w:val="003F3186"/>
    <w:rsid w:val="004012AB"/>
    <w:rsid w:val="004162E5"/>
    <w:rsid w:val="00416E1F"/>
    <w:rsid w:val="00452249"/>
    <w:rsid w:val="004759F2"/>
    <w:rsid w:val="00484FDF"/>
    <w:rsid w:val="00492CC0"/>
    <w:rsid w:val="004B024D"/>
    <w:rsid w:val="004B450F"/>
    <w:rsid w:val="004B7FB7"/>
    <w:rsid w:val="004D23F3"/>
    <w:rsid w:val="004D63F8"/>
    <w:rsid w:val="004E7FBA"/>
    <w:rsid w:val="00507C82"/>
    <w:rsid w:val="00530EEF"/>
    <w:rsid w:val="00534154"/>
    <w:rsid w:val="005341C1"/>
    <w:rsid w:val="00553DA3"/>
    <w:rsid w:val="00567F8E"/>
    <w:rsid w:val="00575C32"/>
    <w:rsid w:val="00581B55"/>
    <w:rsid w:val="00587F55"/>
    <w:rsid w:val="00591801"/>
    <w:rsid w:val="00594F31"/>
    <w:rsid w:val="00596554"/>
    <w:rsid w:val="005B3901"/>
    <w:rsid w:val="005D193C"/>
    <w:rsid w:val="005D37DE"/>
    <w:rsid w:val="005D5E4C"/>
    <w:rsid w:val="005E15A7"/>
    <w:rsid w:val="005E4872"/>
    <w:rsid w:val="005F0A38"/>
    <w:rsid w:val="005F1237"/>
    <w:rsid w:val="005F4FA4"/>
    <w:rsid w:val="006022B2"/>
    <w:rsid w:val="0060594A"/>
    <w:rsid w:val="0061072F"/>
    <w:rsid w:val="00625FA4"/>
    <w:rsid w:val="00626E2D"/>
    <w:rsid w:val="0063681D"/>
    <w:rsid w:val="00666965"/>
    <w:rsid w:val="00677601"/>
    <w:rsid w:val="006776DF"/>
    <w:rsid w:val="00680F58"/>
    <w:rsid w:val="00697AEB"/>
    <w:rsid w:val="006C5BC8"/>
    <w:rsid w:val="006D48E6"/>
    <w:rsid w:val="006F3868"/>
    <w:rsid w:val="006F4BDA"/>
    <w:rsid w:val="00702D7D"/>
    <w:rsid w:val="00704BEC"/>
    <w:rsid w:val="007059A9"/>
    <w:rsid w:val="0071060A"/>
    <w:rsid w:val="00714787"/>
    <w:rsid w:val="007175E3"/>
    <w:rsid w:val="00746DB1"/>
    <w:rsid w:val="0077118A"/>
    <w:rsid w:val="00774F38"/>
    <w:rsid w:val="007844CB"/>
    <w:rsid w:val="00785077"/>
    <w:rsid w:val="007867AD"/>
    <w:rsid w:val="00792B8F"/>
    <w:rsid w:val="007A422B"/>
    <w:rsid w:val="007B16B7"/>
    <w:rsid w:val="007B60BE"/>
    <w:rsid w:val="007C038B"/>
    <w:rsid w:val="007C1DA8"/>
    <w:rsid w:val="007F28D7"/>
    <w:rsid w:val="007F4E25"/>
    <w:rsid w:val="00807FC3"/>
    <w:rsid w:val="00816184"/>
    <w:rsid w:val="00824FE3"/>
    <w:rsid w:val="0083018E"/>
    <w:rsid w:val="00835823"/>
    <w:rsid w:val="00836431"/>
    <w:rsid w:val="00840D9B"/>
    <w:rsid w:val="0085112B"/>
    <w:rsid w:val="00852BD0"/>
    <w:rsid w:val="008702AD"/>
    <w:rsid w:val="0087507F"/>
    <w:rsid w:val="00877953"/>
    <w:rsid w:val="0088567E"/>
    <w:rsid w:val="008858CA"/>
    <w:rsid w:val="008869CE"/>
    <w:rsid w:val="008924DF"/>
    <w:rsid w:val="008A11CA"/>
    <w:rsid w:val="008A3B39"/>
    <w:rsid w:val="008C1AC2"/>
    <w:rsid w:val="008C6CCA"/>
    <w:rsid w:val="008D10F8"/>
    <w:rsid w:val="008D12DE"/>
    <w:rsid w:val="008E44F8"/>
    <w:rsid w:val="008E5112"/>
    <w:rsid w:val="008F5C97"/>
    <w:rsid w:val="0090363A"/>
    <w:rsid w:val="00904526"/>
    <w:rsid w:val="00905F64"/>
    <w:rsid w:val="00917E06"/>
    <w:rsid w:val="00920E8F"/>
    <w:rsid w:val="009274D2"/>
    <w:rsid w:val="009379F0"/>
    <w:rsid w:val="00947505"/>
    <w:rsid w:val="00947DAD"/>
    <w:rsid w:val="00952ADB"/>
    <w:rsid w:val="00954C07"/>
    <w:rsid w:val="00962002"/>
    <w:rsid w:val="00971EDE"/>
    <w:rsid w:val="00977C72"/>
    <w:rsid w:val="00996002"/>
    <w:rsid w:val="009A03E5"/>
    <w:rsid w:val="009A5BDD"/>
    <w:rsid w:val="009A6AD5"/>
    <w:rsid w:val="009A7D79"/>
    <w:rsid w:val="009B4D6B"/>
    <w:rsid w:val="009C1BF6"/>
    <w:rsid w:val="009C6E4C"/>
    <w:rsid w:val="009C7DED"/>
    <w:rsid w:val="009C7E6C"/>
    <w:rsid w:val="009D0ACB"/>
    <w:rsid w:val="009D4517"/>
    <w:rsid w:val="009E3C0F"/>
    <w:rsid w:val="009E531E"/>
    <w:rsid w:val="009E5996"/>
    <w:rsid w:val="00A270A6"/>
    <w:rsid w:val="00A271BA"/>
    <w:rsid w:val="00A27645"/>
    <w:rsid w:val="00A351B8"/>
    <w:rsid w:val="00A357BE"/>
    <w:rsid w:val="00A448BC"/>
    <w:rsid w:val="00A637E2"/>
    <w:rsid w:val="00A85391"/>
    <w:rsid w:val="00A9066C"/>
    <w:rsid w:val="00AA3551"/>
    <w:rsid w:val="00AB0038"/>
    <w:rsid w:val="00AB0828"/>
    <w:rsid w:val="00AD4044"/>
    <w:rsid w:val="00AD7208"/>
    <w:rsid w:val="00AE196D"/>
    <w:rsid w:val="00AF442B"/>
    <w:rsid w:val="00B03AD9"/>
    <w:rsid w:val="00B14E5E"/>
    <w:rsid w:val="00B267FF"/>
    <w:rsid w:val="00B3549E"/>
    <w:rsid w:val="00B42CDF"/>
    <w:rsid w:val="00B43023"/>
    <w:rsid w:val="00B47624"/>
    <w:rsid w:val="00B60B37"/>
    <w:rsid w:val="00B67AB5"/>
    <w:rsid w:val="00B720E7"/>
    <w:rsid w:val="00B72B83"/>
    <w:rsid w:val="00B8034C"/>
    <w:rsid w:val="00B81A8B"/>
    <w:rsid w:val="00B95868"/>
    <w:rsid w:val="00BC017C"/>
    <w:rsid w:val="00BC4744"/>
    <w:rsid w:val="00BD0C37"/>
    <w:rsid w:val="00BE32D9"/>
    <w:rsid w:val="00C04D58"/>
    <w:rsid w:val="00C15F9C"/>
    <w:rsid w:val="00C26894"/>
    <w:rsid w:val="00C37432"/>
    <w:rsid w:val="00C45784"/>
    <w:rsid w:val="00C501A7"/>
    <w:rsid w:val="00C71D19"/>
    <w:rsid w:val="00C75101"/>
    <w:rsid w:val="00C77852"/>
    <w:rsid w:val="00C829F4"/>
    <w:rsid w:val="00C928B2"/>
    <w:rsid w:val="00C9510D"/>
    <w:rsid w:val="00CB48F1"/>
    <w:rsid w:val="00CE7216"/>
    <w:rsid w:val="00CF3302"/>
    <w:rsid w:val="00CF3745"/>
    <w:rsid w:val="00CF3C7A"/>
    <w:rsid w:val="00CF7727"/>
    <w:rsid w:val="00D03EB6"/>
    <w:rsid w:val="00D21487"/>
    <w:rsid w:val="00D3106F"/>
    <w:rsid w:val="00D325D8"/>
    <w:rsid w:val="00D42648"/>
    <w:rsid w:val="00D50C48"/>
    <w:rsid w:val="00D50F04"/>
    <w:rsid w:val="00D512BF"/>
    <w:rsid w:val="00D649F6"/>
    <w:rsid w:val="00D721E3"/>
    <w:rsid w:val="00D8024D"/>
    <w:rsid w:val="00DA316B"/>
    <w:rsid w:val="00DA3248"/>
    <w:rsid w:val="00DA762E"/>
    <w:rsid w:val="00DB096E"/>
    <w:rsid w:val="00DB5DAD"/>
    <w:rsid w:val="00DD15A8"/>
    <w:rsid w:val="00DD5208"/>
    <w:rsid w:val="00DF0DD5"/>
    <w:rsid w:val="00DF245A"/>
    <w:rsid w:val="00DF6B74"/>
    <w:rsid w:val="00E028F3"/>
    <w:rsid w:val="00E060E3"/>
    <w:rsid w:val="00E2262E"/>
    <w:rsid w:val="00E45EF4"/>
    <w:rsid w:val="00E521D2"/>
    <w:rsid w:val="00E56143"/>
    <w:rsid w:val="00E56AB7"/>
    <w:rsid w:val="00E578A5"/>
    <w:rsid w:val="00E941EE"/>
    <w:rsid w:val="00EA6A53"/>
    <w:rsid w:val="00EB6D19"/>
    <w:rsid w:val="00EC49A1"/>
    <w:rsid w:val="00EC6049"/>
    <w:rsid w:val="00ED2E44"/>
    <w:rsid w:val="00EE2054"/>
    <w:rsid w:val="00EE4972"/>
    <w:rsid w:val="00EF3CE1"/>
    <w:rsid w:val="00F13907"/>
    <w:rsid w:val="00F14635"/>
    <w:rsid w:val="00F14645"/>
    <w:rsid w:val="00F152D1"/>
    <w:rsid w:val="00F2747D"/>
    <w:rsid w:val="00F27CEC"/>
    <w:rsid w:val="00F314FC"/>
    <w:rsid w:val="00F531D2"/>
    <w:rsid w:val="00F6146B"/>
    <w:rsid w:val="00F71855"/>
    <w:rsid w:val="00F74219"/>
    <w:rsid w:val="00F94CC0"/>
    <w:rsid w:val="00FA44FC"/>
    <w:rsid w:val="00FA7C8E"/>
    <w:rsid w:val="00FB65C2"/>
    <w:rsid w:val="00FD2802"/>
    <w:rsid w:val="00FE67E3"/>
    <w:rsid w:val="00FF29E6"/>
    <w:rsid w:val="00FF427F"/>
    <w:rsid w:val="00FF605D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E063A-3DF4-4955-9263-E0088E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CD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1B43CD"/>
  </w:style>
  <w:style w:type="character" w:styleId="Lienhypertexte">
    <w:name w:val="Hyperlink"/>
    <w:uiPriority w:val="99"/>
    <w:unhideWhenUsed/>
    <w:rsid w:val="005F0A3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16184"/>
    <w:pPr>
      <w:ind w:left="720"/>
      <w:contextualSpacing/>
    </w:pPr>
  </w:style>
  <w:style w:type="character" w:customStyle="1" w:styleId="acopre">
    <w:name w:val="acopre"/>
    <w:rsid w:val="00594F31"/>
  </w:style>
  <w:style w:type="paragraph" w:styleId="Date">
    <w:name w:val="Date"/>
    <w:basedOn w:val="Normal"/>
    <w:next w:val="Normal"/>
    <w:link w:val="DateCar"/>
    <w:uiPriority w:val="99"/>
    <w:semiHidden/>
    <w:unhideWhenUsed/>
    <w:rsid w:val="009A7D79"/>
  </w:style>
  <w:style w:type="character" w:customStyle="1" w:styleId="DateCar">
    <w:name w:val="Date Car"/>
    <w:link w:val="Date"/>
    <w:uiPriority w:val="99"/>
    <w:semiHidden/>
    <w:rsid w:val="009A7D79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8567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8567E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C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CC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D23F3"/>
    <w:rPr>
      <w:sz w:val="22"/>
      <w:szCs w:val="22"/>
    </w:rPr>
  </w:style>
  <w:style w:type="table" w:styleId="Tableausimple1">
    <w:name w:val="Plain Table 1"/>
    <w:basedOn w:val="TableauNormal"/>
    <w:uiPriority w:val="41"/>
    <w:rsid w:val="005341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176F-6A78-483D-8E01-F8470EFA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dumoulin</dc:creator>
  <cp:keywords/>
  <cp:lastModifiedBy>CGT</cp:lastModifiedBy>
  <cp:revision>2</cp:revision>
  <cp:lastPrinted>2024-01-19T07:16:00Z</cp:lastPrinted>
  <dcterms:created xsi:type="dcterms:W3CDTF">2024-01-19T07:17:00Z</dcterms:created>
  <dcterms:modified xsi:type="dcterms:W3CDTF">2024-01-19T07:17:00Z</dcterms:modified>
</cp:coreProperties>
</file>