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F3" w:rsidRPr="00C0691E" w:rsidRDefault="00170AF3" w:rsidP="00170AF3">
      <w:pPr>
        <w:jc w:val="center"/>
        <w:rPr>
          <w:rFonts w:asciiTheme="minorHAnsi" w:hAnsiTheme="minorHAnsi" w:cstheme="minorHAnsi"/>
          <w:b/>
          <w:sz w:val="32"/>
          <w:szCs w:val="7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72"/>
        </w:rPr>
        <w:t>Compte-Rendu</w:t>
      </w:r>
      <w:r w:rsidRPr="00C0691E">
        <w:rPr>
          <w:rFonts w:asciiTheme="minorHAnsi" w:hAnsiTheme="minorHAnsi" w:cstheme="minorHAnsi"/>
          <w:b/>
          <w:sz w:val="32"/>
          <w:szCs w:val="72"/>
        </w:rPr>
        <w:t xml:space="preserve"> CGT</w:t>
      </w:r>
    </w:p>
    <w:p w:rsidR="00170AF3" w:rsidRPr="00C0691E" w:rsidRDefault="00170AF3" w:rsidP="00170AF3">
      <w:pPr>
        <w:jc w:val="center"/>
        <w:rPr>
          <w:rFonts w:asciiTheme="minorHAnsi" w:hAnsiTheme="minorHAnsi" w:cstheme="minorHAnsi"/>
          <w:b/>
          <w:sz w:val="32"/>
          <w:szCs w:val="72"/>
        </w:rPr>
      </w:pPr>
      <w:r>
        <w:rPr>
          <w:rFonts w:asciiTheme="minorHAnsi" w:hAnsiTheme="minorHAnsi" w:cstheme="minorHAnsi"/>
          <w:b/>
          <w:sz w:val="32"/>
          <w:szCs w:val="72"/>
        </w:rPr>
        <w:t>Commission Études Emploi</w:t>
      </w:r>
    </w:p>
    <w:p w:rsidR="00170AF3" w:rsidRPr="00C0691E" w:rsidRDefault="00170AF3" w:rsidP="00170AF3">
      <w:pPr>
        <w:jc w:val="center"/>
        <w:rPr>
          <w:rFonts w:cs="Arial"/>
          <w:b/>
          <w:sz w:val="32"/>
          <w:szCs w:val="72"/>
        </w:rPr>
      </w:pPr>
      <w:r>
        <w:rPr>
          <w:rFonts w:asciiTheme="minorHAnsi" w:hAnsiTheme="minorHAnsi" w:cstheme="minorHAnsi"/>
          <w:b/>
          <w:sz w:val="32"/>
          <w:szCs w:val="72"/>
        </w:rPr>
        <w:t>19 avril</w:t>
      </w:r>
      <w:r w:rsidRPr="00C0691E">
        <w:rPr>
          <w:rFonts w:asciiTheme="minorHAnsi" w:hAnsiTheme="minorHAnsi" w:cstheme="minorHAnsi"/>
          <w:b/>
          <w:sz w:val="32"/>
          <w:szCs w:val="72"/>
        </w:rPr>
        <w:t xml:space="preserve"> 2023</w:t>
      </w:r>
    </w:p>
    <w:p w:rsidR="00170AF3" w:rsidRDefault="00170AF3" w:rsidP="00DA21BE">
      <w:pPr>
        <w:jc w:val="both"/>
        <w:rPr>
          <w:rFonts w:asciiTheme="minorHAnsi" w:hAnsiTheme="minorHAnsi" w:cstheme="minorHAnsi"/>
        </w:rPr>
      </w:pPr>
    </w:p>
    <w:p w:rsidR="00DE7A6D" w:rsidRDefault="00DA21BE" w:rsidP="00DA21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Sauf pour l’établissement d’Argenteuil, tous les autres établissements ont des effectifs qui augmentent. La Direction Générale précise pour Argenteuil qu’il s’agit d’ « </w:t>
      </w:r>
      <w:r w:rsidRPr="00DA21BE">
        <w:rPr>
          <w:rFonts w:asciiTheme="minorHAnsi" w:hAnsiTheme="minorHAnsi" w:cstheme="minorHAnsi"/>
          <w:i/>
        </w:rPr>
        <w:t>adapter les effectifs au juste nécessaire </w:t>
      </w:r>
      <w:r>
        <w:rPr>
          <w:rFonts w:asciiTheme="minorHAnsi" w:hAnsiTheme="minorHAnsi" w:cstheme="minorHAnsi"/>
          <w:i/>
        </w:rPr>
        <w:t xml:space="preserve">en vue de Cergy </w:t>
      </w:r>
      <w:r>
        <w:rPr>
          <w:rFonts w:asciiTheme="minorHAnsi" w:hAnsiTheme="minorHAnsi" w:cstheme="minorHAnsi"/>
        </w:rPr>
        <w:t>»</w:t>
      </w:r>
      <w:r w:rsidR="00170AF3">
        <w:rPr>
          <w:rFonts w:asciiTheme="minorHAnsi" w:hAnsiTheme="minorHAnsi" w:cstheme="minorHAnsi"/>
        </w:rPr>
        <w:t xml:space="preserve"> et que </w:t>
      </w:r>
      <w:r>
        <w:rPr>
          <w:rFonts w:asciiTheme="minorHAnsi" w:hAnsiTheme="minorHAnsi" w:cstheme="minorHAnsi"/>
        </w:rPr>
        <w:t xml:space="preserve">les </w:t>
      </w:r>
      <w:r w:rsidR="00170AF3">
        <w:rPr>
          <w:rFonts w:asciiTheme="minorHAnsi" w:hAnsiTheme="minorHAnsi" w:cstheme="minorHAnsi"/>
        </w:rPr>
        <w:t xml:space="preserve">salariés actuellement en </w:t>
      </w:r>
      <w:r>
        <w:rPr>
          <w:rFonts w:asciiTheme="minorHAnsi" w:hAnsiTheme="minorHAnsi" w:cstheme="minorHAnsi"/>
        </w:rPr>
        <w:t>CQPM sont en phase de pré-recrutement afin de remplacer les départs</w:t>
      </w:r>
      <w:r w:rsidR="009E5FEE">
        <w:rPr>
          <w:rFonts w:asciiTheme="minorHAnsi" w:hAnsiTheme="minorHAnsi" w:cstheme="minorHAnsi"/>
        </w:rPr>
        <w:t xml:space="preserve"> « </w:t>
      </w:r>
      <w:r w:rsidR="009E5FEE" w:rsidRPr="009E5FEE">
        <w:rPr>
          <w:rFonts w:asciiTheme="minorHAnsi" w:hAnsiTheme="minorHAnsi" w:cstheme="minorHAnsi"/>
          <w:i/>
        </w:rPr>
        <w:t>naturels</w:t>
      </w:r>
      <w:r w:rsidR="009E5FEE">
        <w:rPr>
          <w:rFonts w:asciiTheme="minorHAnsi" w:hAnsiTheme="minorHAnsi" w:cstheme="minorHAnsi"/>
        </w:rPr>
        <w:t> »</w:t>
      </w:r>
      <w:r w:rsidR="00170AF3">
        <w:rPr>
          <w:rFonts w:asciiTheme="minorHAnsi" w:hAnsiTheme="minorHAnsi" w:cstheme="minorHAnsi"/>
        </w:rPr>
        <w:t xml:space="preserve"> (retraite</w:t>
      </w:r>
      <w:r w:rsidR="00BF4F4E">
        <w:rPr>
          <w:rFonts w:asciiTheme="minorHAnsi" w:hAnsiTheme="minorHAnsi" w:cstheme="minorHAnsi"/>
        </w:rPr>
        <w:t>s</w:t>
      </w:r>
      <w:r w:rsidR="00170AF3">
        <w:rPr>
          <w:rFonts w:asciiTheme="minorHAnsi" w:hAnsiTheme="minorHAnsi" w:cstheme="minorHAnsi"/>
        </w:rPr>
        <w:t>, mutation</w:t>
      </w:r>
      <w:r w:rsidR="00BF4F4E">
        <w:rPr>
          <w:rFonts w:asciiTheme="minorHAnsi" w:hAnsiTheme="minorHAnsi" w:cstheme="minorHAnsi"/>
        </w:rPr>
        <w:t>s</w:t>
      </w:r>
      <w:r w:rsidR="00170AF3">
        <w:rPr>
          <w:rFonts w:asciiTheme="minorHAnsi" w:hAnsiTheme="minorHAnsi" w:cstheme="minorHAnsi"/>
        </w:rPr>
        <w:t>,…)</w:t>
      </w:r>
      <w:r>
        <w:rPr>
          <w:rFonts w:asciiTheme="minorHAnsi" w:hAnsiTheme="minorHAnsi" w:cstheme="minorHAnsi"/>
        </w:rPr>
        <w:t xml:space="preserve">. </w:t>
      </w:r>
    </w:p>
    <w:p w:rsidR="00DE7A6D" w:rsidRPr="005D0DFB" w:rsidRDefault="00DE7A6D" w:rsidP="00DA21BE">
      <w:pPr>
        <w:jc w:val="both"/>
        <w:rPr>
          <w:rFonts w:asciiTheme="minorHAnsi" w:hAnsiTheme="minorHAnsi" w:cstheme="minorHAnsi"/>
          <w:sz w:val="16"/>
        </w:rPr>
      </w:pPr>
    </w:p>
    <w:p w:rsidR="00DA21BE" w:rsidRDefault="009E5FEE" w:rsidP="00DA21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Direction Générale</w:t>
      </w:r>
      <w:r w:rsidR="00DA21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souhaite que les </w:t>
      </w:r>
      <w:r w:rsidR="00DA21BE">
        <w:rPr>
          <w:rFonts w:asciiTheme="minorHAnsi" w:hAnsiTheme="minorHAnsi" w:cstheme="minorHAnsi"/>
        </w:rPr>
        <w:t>effectifs</w:t>
      </w:r>
      <w:r w:rsidR="00170AF3">
        <w:rPr>
          <w:rFonts w:asciiTheme="minorHAnsi" w:hAnsiTheme="minorHAnsi" w:cstheme="minorHAnsi"/>
        </w:rPr>
        <w:t xml:space="preserve"> de l’établissement d’Argenteuil</w:t>
      </w:r>
      <w:r>
        <w:rPr>
          <w:rFonts w:asciiTheme="minorHAnsi" w:hAnsiTheme="minorHAnsi" w:cstheme="minorHAnsi"/>
        </w:rPr>
        <w:t xml:space="preserve"> </w:t>
      </w:r>
      <w:r w:rsidR="00DA21BE">
        <w:rPr>
          <w:rFonts w:asciiTheme="minorHAnsi" w:hAnsiTheme="minorHAnsi" w:cstheme="minorHAnsi"/>
        </w:rPr>
        <w:t>reste</w:t>
      </w:r>
      <w:r w:rsidR="00E440F1">
        <w:rPr>
          <w:rFonts w:asciiTheme="minorHAnsi" w:hAnsiTheme="minorHAnsi" w:cstheme="minorHAnsi"/>
        </w:rPr>
        <w:t>nt</w:t>
      </w:r>
      <w:r w:rsidR="00DA21BE">
        <w:rPr>
          <w:rFonts w:asciiTheme="minorHAnsi" w:hAnsiTheme="minorHAnsi" w:cstheme="minorHAnsi"/>
        </w:rPr>
        <w:t xml:space="preserve"> aux alentours des 600 inscrits. La DG </w:t>
      </w:r>
      <w:r w:rsidR="00BF4F4E">
        <w:rPr>
          <w:rFonts w:asciiTheme="minorHAnsi" w:hAnsiTheme="minorHAnsi" w:cstheme="minorHAnsi"/>
        </w:rPr>
        <w:t>prévoit d’avoir recours à</w:t>
      </w:r>
      <w:r w:rsidR="00DA21BE">
        <w:rPr>
          <w:rFonts w:asciiTheme="minorHAnsi" w:hAnsiTheme="minorHAnsi" w:cstheme="minorHAnsi"/>
        </w:rPr>
        <w:t xml:space="preserve"> plus</w:t>
      </w:r>
      <w:r w:rsidR="005D0DFB">
        <w:rPr>
          <w:rFonts w:asciiTheme="minorHAnsi" w:hAnsiTheme="minorHAnsi" w:cstheme="minorHAnsi"/>
        </w:rPr>
        <w:t xml:space="preserve"> d’</w:t>
      </w:r>
      <w:r w:rsidR="00DA21BE">
        <w:rPr>
          <w:rFonts w:asciiTheme="minorHAnsi" w:hAnsiTheme="minorHAnsi" w:cstheme="minorHAnsi"/>
        </w:rPr>
        <w:t>intérim et</w:t>
      </w:r>
      <w:r w:rsidR="005D0DFB">
        <w:rPr>
          <w:rFonts w:asciiTheme="minorHAnsi" w:hAnsiTheme="minorHAnsi" w:cstheme="minorHAnsi"/>
        </w:rPr>
        <w:t xml:space="preserve"> de</w:t>
      </w:r>
      <w:r w:rsidR="00DA21BE">
        <w:rPr>
          <w:rFonts w:asciiTheme="minorHAnsi" w:hAnsiTheme="minorHAnsi" w:cstheme="minorHAnsi"/>
        </w:rPr>
        <w:t xml:space="preserve"> sous-traitance pour Argenteuil</w:t>
      </w:r>
      <w:r w:rsidR="00BF4F4E">
        <w:rPr>
          <w:rFonts w:asciiTheme="minorHAnsi" w:hAnsiTheme="minorHAnsi" w:cstheme="minorHAnsi"/>
        </w:rPr>
        <w:t>, ce que vos représentants dénoncent !</w:t>
      </w:r>
    </w:p>
    <w:p w:rsidR="00DA21BE" w:rsidRPr="005D0DFB" w:rsidRDefault="00DA21BE" w:rsidP="002224FD">
      <w:pPr>
        <w:rPr>
          <w:rFonts w:asciiTheme="minorHAnsi" w:hAnsiTheme="minorHAnsi" w:cstheme="minorHAnsi"/>
          <w:sz w:val="28"/>
        </w:rPr>
      </w:pPr>
    </w:p>
    <w:tbl>
      <w:tblPr>
        <w:tblW w:w="58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1264"/>
        <w:gridCol w:w="1714"/>
        <w:gridCol w:w="1268"/>
      </w:tblGrid>
      <w:tr w:rsidR="00DA21BE" w:rsidRPr="00DA21BE" w:rsidTr="005D0DFB">
        <w:trPr>
          <w:trHeight w:val="330"/>
          <w:jc w:val="center"/>
        </w:trPr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5B9BD5" w:fill="5B9BD5"/>
            <w:noWrap/>
            <w:vAlign w:val="center"/>
          </w:tcPr>
          <w:p w:rsidR="00DA21BE" w:rsidRPr="00DB462D" w:rsidRDefault="00DA21BE" w:rsidP="00DB46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B462D">
              <w:rPr>
                <w:rFonts w:ascii="Calibri" w:eastAsia="Times New Roman" w:hAnsi="Calibri" w:cs="Calibri"/>
                <w:b/>
                <w:bCs/>
                <w:color w:val="FFFFFF"/>
              </w:rPr>
              <w:t>Effectifs inscrits en 2022 par établissement</w:t>
            </w:r>
            <w:r w:rsidRPr="00DB462D">
              <w:rPr>
                <w:rStyle w:val="Appelnotedebasdep"/>
                <w:rFonts w:ascii="Calibri" w:eastAsia="Times New Roman" w:hAnsi="Calibri" w:cs="Calibri"/>
                <w:b/>
                <w:bCs/>
                <w:color w:val="FFFFFF"/>
              </w:rPr>
              <w:footnoteReference w:id="1"/>
            </w:r>
          </w:p>
        </w:tc>
      </w:tr>
      <w:tr w:rsidR="005E4431" w:rsidRPr="00DA21BE" w:rsidTr="005D0DFB">
        <w:trPr>
          <w:trHeight w:val="330"/>
          <w:jc w:val="center"/>
        </w:trPr>
        <w:tc>
          <w:tcPr>
            <w:tcW w:w="161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DA21BE" w:rsidRPr="00DA21BE" w:rsidRDefault="00A070EC" w:rsidP="00DB46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É</w:t>
            </w:r>
            <w:r w:rsidR="00DA21BE" w:rsidRPr="00DA21BE">
              <w:rPr>
                <w:rFonts w:ascii="Calibri" w:eastAsia="Times New Roman" w:hAnsi="Calibri" w:cs="Calibri"/>
                <w:b/>
                <w:bCs/>
                <w:color w:val="FFFFFF"/>
              </w:rPr>
              <w:t>tablissement</w:t>
            </w:r>
          </w:p>
        </w:tc>
        <w:tc>
          <w:tcPr>
            <w:tcW w:w="1264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A21BE">
              <w:rPr>
                <w:rFonts w:ascii="Calibri" w:eastAsia="Times New Roman" w:hAnsi="Calibri" w:cs="Calibri"/>
                <w:b/>
                <w:bCs/>
                <w:color w:val="FFFFFF"/>
              </w:rPr>
              <w:t>Effectifs</w:t>
            </w:r>
          </w:p>
        </w:tc>
        <w:tc>
          <w:tcPr>
            <w:tcW w:w="1714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noWrap/>
            <w:vAlign w:val="center"/>
            <w:hideMark/>
          </w:tcPr>
          <w:p w:rsidR="00DA21BE" w:rsidRPr="00DA21BE" w:rsidRDefault="00A070EC" w:rsidP="00DB46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É</w:t>
            </w:r>
            <w:r w:rsidR="00DB462D">
              <w:rPr>
                <w:rFonts w:ascii="Calibri" w:eastAsia="Times New Roman" w:hAnsi="Calibri" w:cs="Calibri"/>
                <w:b/>
                <w:bCs/>
                <w:color w:val="FFFFFF"/>
              </w:rPr>
              <w:t>tablissement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noWrap/>
            <w:vAlign w:val="center"/>
            <w:hideMark/>
          </w:tcPr>
          <w:p w:rsidR="00DA21BE" w:rsidRPr="00DA21BE" w:rsidRDefault="00DB462D" w:rsidP="00DB462D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Effectifs</w:t>
            </w:r>
          </w:p>
        </w:tc>
      </w:tr>
      <w:tr w:rsidR="005D0DFB" w:rsidRPr="00DA21BE" w:rsidTr="005D0DFB">
        <w:trPr>
          <w:trHeight w:val="330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Argenteuil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594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Mérignac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2414</w:t>
            </w:r>
          </w:p>
        </w:tc>
      </w:tr>
      <w:tr w:rsidR="00DA21BE" w:rsidRPr="00DA21BE" w:rsidTr="005D0DFB">
        <w:trPr>
          <w:trHeight w:val="330"/>
          <w:jc w:val="center"/>
        </w:trPr>
        <w:tc>
          <w:tcPr>
            <w:tcW w:w="16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Argonay</w:t>
            </w:r>
          </w:p>
        </w:tc>
        <w:tc>
          <w:tcPr>
            <w:tcW w:w="12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1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Poitiers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5D0DFB" w:rsidRPr="00DA21BE" w:rsidTr="005D0DFB">
        <w:trPr>
          <w:trHeight w:val="330"/>
          <w:jc w:val="center"/>
        </w:trPr>
        <w:tc>
          <w:tcPr>
            <w:tcW w:w="16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Biarritz</w:t>
            </w:r>
          </w:p>
        </w:tc>
        <w:tc>
          <w:tcPr>
            <w:tcW w:w="12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  <w:tc>
          <w:tcPr>
            <w:tcW w:w="1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Saint-Cloud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3015</w:t>
            </w:r>
          </w:p>
        </w:tc>
      </w:tr>
      <w:tr w:rsidR="00DA21BE" w:rsidRPr="00DA21BE" w:rsidTr="005D0DFB">
        <w:trPr>
          <w:trHeight w:val="330"/>
          <w:jc w:val="center"/>
        </w:trPr>
        <w:tc>
          <w:tcPr>
            <w:tcW w:w="16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Istres</w:t>
            </w:r>
          </w:p>
        </w:tc>
        <w:tc>
          <w:tcPr>
            <w:tcW w:w="12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689</w:t>
            </w:r>
          </w:p>
        </w:tc>
        <w:tc>
          <w:tcPr>
            <w:tcW w:w="1714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Seclin</w:t>
            </w:r>
          </w:p>
        </w:tc>
        <w:tc>
          <w:tcPr>
            <w:tcW w:w="1266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</w:tr>
      <w:tr w:rsidR="005E4431" w:rsidRPr="00DA21BE" w:rsidTr="005D0DFB">
        <w:trPr>
          <w:trHeight w:val="330"/>
          <w:jc w:val="center"/>
        </w:trPr>
        <w:tc>
          <w:tcPr>
            <w:tcW w:w="1612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Martignas</w:t>
            </w:r>
          </w:p>
        </w:tc>
        <w:tc>
          <w:tcPr>
            <w:tcW w:w="1264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A21BE" w:rsidRPr="00DA21BE" w:rsidRDefault="00DA21BE" w:rsidP="00DB462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A21BE">
              <w:rPr>
                <w:rFonts w:ascii="Calibri" w:eastAsia="Times New Roman" w:hAnsi="Calibri" w:cs="Calibri"/>
                <w:color w:val="000000"/>
              </w:rPr>
              <w:t>9201</w:t>
            </w:r>
          </w:p>
        </w:tc>
      </w:tr>
    </w:tbl>
    <w:p w:rsidR="00DA21BE" w:rsidRPr="005D0DFB" w:rsidRDefault="00DA21BE" w:rsidP="002224FD">
      <w:pPr>
        <w:rPr>
          <w:rFonts w:asciiTheme="minorHAnsi" w:hAnsiTheme="minorHAnsi" w:cstheme="minorHAnsi"/>
          <w:sz w:val="28"/>
        </w:rPr>
      </w:pPr>
    </w:p>
    <w:p w:rsidR="00034FB7" w:rsidRDefault="00DA21BE" w:rsidP="00DA21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l’année 2022, nous avons eu 986 « </w:t>
      </w:r>
      <w:r w:rsidRPr="00DA21BE">
        <w:rPr>
          <w:rFonts w:asciiTheme="minorHAnsi" w:hAnsiTheme="minorHAnsi" w:cstheme="minorHAnsi"/>
          <w:i/>
        </w:rPr>
        <w:t>entrées</w:t>
      </w:r>
      <w:r>
        <w:rPr>
          <w:rFonts w:asciiTheme="minorHAnsi" w:hAnsiTheme="minorHAnsi" w:cstheme="minorHAnsi"/>
        </w:rPr>
        <w:t> », dont 752 CDI</w:t>
      </w:r>
      <w:r w:rsidR="00E00D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pour 600 « </w:t>
      </w:r>
      <w:r w:rsidRPr="00DA21BE">
        <w:rPr>
          <w:rFonts w:asciiTheme="minorHAnsi" w:hAnsiTheme="minorHAnsi" w:cstheme="minorHAnsi"/>
          <w:i/>
        </w:rPr>
        <w:t>sorties</w:t>
      </w:r>
      <w:r>
        <w:rPr>
          <w:rFonts w:asciiTheme="minorHAnsi" w:hAnsiTheme="minorHAnsi" w:cstheme="minorHAnsi"/>
        </w:rPr>
        <w:t> »</w:t>
      </w:r>
      <w:r w:rsidR="00E00D48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99 démissions, 18 rupture</w:t>
      </w:r>
      <w:r w:rsidR="00A070E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conventionnelles</w:t>
      </w:r>
      <w:r w:rsidR="00DC201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26 licenciements</w:t>
      </w:r>
      <w:r w:rsidR="00DC201D">
        <w:rPr>
          <w:rFonts w:asciiTheme="minorHAnsi" w:hAnsiTheme="minorHAnsi" w:cstheme="minorHAnsi"/>
        </w:rPr>
        <w:t xml:space="preserve"> …</w:t>
      </w:r>
      <w:r w:rsidR="00E00D4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Les près de 100 démissions </w:t>
      </w:r>
      <w:r w:rsidR="00E00D48">
        <w:rPr>
          <w:rFonts w:asciiTheme="minorHAnsi" w:hAnsiTheme="minorHAnsi" w:cstheme="minorHAnsi"/>
        </w:rPr>
        <w:t xml:space="preserve">pour 2022 </w:t>
      </w:r>
      <w:r>
        <w:rPr>
          <w:rFonts w:asciiTheme="minorHAnsi" w:hAnsiTheme="minorHAnsi" w:cstheme="minorHAnsi"/>
        </w:rPr>
        <w:t>sont un signal fort du problème d’attractivité de Dassault Aviation, comparées aux 39 démissions de 2021</w:t>
      </w:r>
      <w:r w:rsidR="00BF4F4E">
        <w:rPr>
          <w:rFonts w:asciiTheme="minorHAnsi" w:hAnsiTheme="minorHAnsi" w:cstheme="minorHAnsi"/>
        </w:rPr>
        <w:t xml:space="preserve"> (les premiers chiffres des démissions de 2023 au premier trimestre sont encore plus élevés qu’en 2022)</w:t>
      </w:r>
      <w:r>
        <w:rPr>
          <w:rFonts w:asciiTheme="minorHAnsi" w:hAnsiTheme="minorHAnsi" w:cstheme="minorHAnsi"/>
        </w:rPr>
        <w:t>.</w:t>
      </w:r>
      <w:r w:rsidR="00A070EC">
        <w:rPr>
          <w:rFonts w:asciiTheme="minorHAnsi" w:hAnsiTheme="minorHAnsi" w:cstheme="minorHAnsi"/>
        </w:rPr>
        <w:t xml:space="preserve"> La Direction Générale</w:t>
      </w:r>
      <w:r>
        <w:rPr>
          <w:rFonts w:asciiTheme="minorHAnsi" w:hAnsiTheme="minorHAnsi" w:cstheme="minorHAnsi"/>
        </w:rPr>
        <w:t xml:space="preserve"> </w:t>
      </w:r>
      <w:r w:rsidR="00A070EC">
        <w:rPr>
          <w:rFonts w:asciiTheme="minorHAnsi" w:hAnsiTheme="minorHAnsi" w:cstheme="minorHAnsi"/>
        </w:rPr>
        <w:t xml:space="preserve">surveille de près cette augmentation des démissions, sans toutefois remettre en question sa politique sociale </w:t>
      </w:r>
      <w:r w:rsidR="00034FB7">
        <w:rPr>
          <w:rFonts w:asciiTheme="minorHAnsi" w:hAnsiTheme="minorHAnsi" w:cstheme="minorHAnsi"/>
        </w:rPr>
        <w:t xml:space="preserve">et industrielle : </w:t>
      </w:r>
    </w:p>
    <w:p w:rsidR="00034FB7" w:rsidRDefault="00034FB7" w:rsidP="00DA21BE">
      <w:pPr>
        <w:jc w:val="both"/>
        <w:rPr>
          <w:rFonts w:asciiTheme="minorHAnsi" w:hAnsiTheme="minorHAnsi" w:cstheme="minorHAnsi"/>
        </w:rPr>
      </w:pPr>
    </w:p>
    <w:p w:rsidR="00DE7A6D" w:rsidRDefault="00034FB7" w:rsidP="00034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Manque d’accompagnement, absence quasi-totale de formation, </w:t>
      </w:r>
      <w:r w:rsidR="00E00D48">
        <w:rPr>
          <w:rFonts w:asciiTheme="minorHAnsi" w:hAnsiTheme="minorHAnsi" w:cstheme="minorHAnsi"/>
        </w:rPr>
        <w:t>surcharge de travail, manque de moyens</w:t>
      </w:r>
      <w:r>
        <w:rPr>
          <w:rFonts w:asciiTheme="minorHAnsi" w:hAnsiTheme="minorHAnsi" w:cstheme="minorHAnsi"/>
        </w:rPr>
        <w:t xml:space="preserve"> humains et matériels</w:t>
      </w:r>
      <w:r w:rsidR="00E00D48">
        <w:rPr>
          <w:rFonts w:asciiTheme="minorHAnsi" w:hAnsiTheme="minorHAnsi" w:cstheme="minorHAnsi"/>
        </w:rPr>
        <w:t xml:space="preserve">, manque de reconnaissance, télétravail pas à la hauteur, </w:t>
      </w:r>
      <w:r>
        <w:rPr>
          <w:rFonts w:asciiTheme="minorHAnsi" w:hAnsiTheme="minorHAnsi" w:cstheme="minorHAnsi"/>
        </w:rPr>
        <w:t>..</w:t>
      </w:r>
      <w:r w:rsidR="00E00D48">
        <w:rPr>
          <w:rFonts w:asciiTheme="minorHAnsi" w:hAnsiTheme="minorHAnsi" w:cstheme="minorHAnsi"/>
        </w:rPr>
        <w:t>.</w:t>
      </w:r>
    </w:p>
    <w:p w:rsidR="00DE7A6D" w:rsidRDefault="00DE7A6D" w:rsidP="00DA21BE">
      <w:pPr>
        <w:jc w:val="both"/>
        <w:rPr>
          <w:rFonts w:asciiTheme="minorHAnsi" w:hAnsiTheme="minorHAnsi" w:cstheme="minorHAnsi"/>
          <w:sz w:val="20"/>
        </w:rPr>
      </w:pPr>
    </w:p>
    <w:p w:rsidR="0018693E" w:rsidRDefault="0018693E" w:rsidP="00DA21BE">
      <w:pPr>
        <w:jc w:val="both"/>
        <w:rPr>
          <w:rFonts w:asciiTheme="minorHAnsi" w:hAnsiTheme="minorHAnsi" w:cstheme="minorHAnsi"/>
          <w:sz w:val="20"/>
        </w:rPr>
      </w:pPr>
    </w:p>
    <w:p w:rsidR="0018693E" w:rsidRPr="0018693E" w:rsidRDefault="0018693E" w:rsidP="005D0DFB">
      <w:pPr>
        <w:pStyle w:val="Paragraphedeliste"/>
        <w:ind w:left="0"/>
        <w:jc w:val="center"/>
        <w:rPr>
          <w:rFonts w:asciiTheme="minorHAnsi" w:hAnsiTheme="minorHAnsi" w:cstheme="minorHAnsi"/>
          <w:sz w:val="20"/>
        </w:rPr>
      </w:pPr>
      <w:r w:rsidRPr="0018693E">
        <w:rPr>
          <w:rFonts w:asciiTheme="minorHAnsi" w:hAnsiTheme="minorHAnsi" w:cstheme="minorHAnsi"/>
          <w:b/>
          <w:i/>
          <w:u w:val="single"/>
        </w:rPr>
        <w:t>Intégration à l’embauche</w:t>
      </w:r>
    </w:p>
    <w:p w:rsidR="0018693E" w:rsidRPr="005D0DFB" w:rsidRDefault="0018693E" w:rsidP="0018693E">
      <w:pPr>
        <w:pStyle w:val="Paragraphedeliste"/>
        <w:jc w:val="both"/>
        <w:rPr>
          <w:rFonts w:asciiTheme="minorHAnsi" w:hAnsiTheme="minorHAnsi" w:cstheme="minorHAnsi"/>
          <w:sz w:val="16"/>
        </w:rPr>
      </w:pPr>
    </w:p>
    <w:p w:rsidR="00BF4F4E" w:rsidRDefault="0018693E" w:rsidP="00DA21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Sur l’intégration, dorénavant la journée ENVOL bénéficiera aux cadres ET aux autres catégories de personnel. Par contre, l’intégration ENVOL qui se déroulait sur 2,5 jours la première année sur Saint-Cloud et une journée sur base militaire la 2</w:t>
      </w:r>
      <w:r w:rsidRPr="0018693E">
        <w:rPr>
          <w:rFonts w:asciiTheme="minorHAnsi" w:hAnsiTheme="minorHAnsi" w:cstheme="minorHAnsi"/>
          <w:vertAlign w:val="superscript"/>
        </w:rPr>
        <w:t>ème</w:t>
      </w:r>
      <w:r>
        <w:rPr>
          <w:rFonts w:asciiTheme="minorHAnsi" w:hAnsiTheme="minorHAnsi" w:cstheme="minorHAnsi"/>
        </w:rPr>
        <w:t xml:space="preserve"> année est devenue un</w:t>
      </w:r>
      <w:r w:rsidR="009E6E87">
        <w:rPr>
          <w:rFonts w:asciiTheme="minorHAnsi" w:hAnsiTheme="minorHAnsi" w:cstheme="minorHAnsi"/>
        </w:rPr>
        <w:t>e seule journée sur Saint-Cloud.</w:t>
      </w:r>
    </w:p>
    <w:p w:rsidR="004F722B" w:rsidRPr="005D0DFB" w:rsidRDefault="004F722B" w:rsidP="00DA21BE">
      <w:pPr>
        <w:jc w:val="both"/>
        <w:rPr>
          <w:rFonts w:asciiTheme="minorHAnsi" w:hAnsiTheme="minorHAnsi" w:cstheme="minorHAnsi"/>
          <w:sz w:val="16"/>
        </w:rPr>
      </w:pPr>
    </w:p>
    <w:p w:rsidR="004F722B" w:rsidRDefault="0018693E" w:rsidP="00DA21BE">
      <w:pPr>
        <w:jc w:val="both"/>
        <w:rPr>
          <w:rFonts w:asciiTheme="minorHAnsi" w:hAnsiTheme="minorHAnsi" w:cstheme="minorHAnsi"/>
        </w:rPr>
      </w:pPr>
      <w:r w:rsidRPr="005D0DFB">
        <w:rPr>
          <w:rFonts w:asciiTheme="minorHAnsi" w:hAnsiTheme="minorHAnsi" w:cstheme="minorHAnsi"/>
          <w:b/>
          <w:u w:val="single"/>
        </w:rPr>
        <w:t>Propositions CGT</w:t>
      </w:r>
      <w:r>
        <w:rPr>
          <w:rFonts w:asciiTheme="minorHAnsi" w:hAnsiTheme="minorHAnsi" w:cstheme="minorHAnsi"/>
        </w:rPr>
        <w:t xml:space="preserve"> : </w:t>
      </w:r>
      <w:r w:rsidR="004F722B">
        <w:rPr>
          <w:rFonts w:asciiTheme="minorHAnsi" w:hAnsiTheme="minorHAnsi" w:cstheme="minorHAnsi"/>
        </w:rPr>
        <w:t>Formations à l’arrivée</w:t>
      </w:r>
      <w:r>
        <w:rPr>
          <w:rFonts w:asciiTheme="minorHAnsi" w:hAnsiTheme="minorHAnsi" w:cstheme="minorHAnsi"/>
        </w:rPr>
        <w:t xml:space="preserve"> du nouvel embauché (</w:t>
      </w:r>
      <w:r w:rsidR="004F722B">
        <w:rPr>
          <w:rFonts w:asciiTheme="minorHAnsi" w:hAnsiTheme="minorHAnsi" w:cstheme="minorHAnsi"/>
        </w:rPr>
        <w:t xml:space="preserve">sur le milieu de l’aéronautique, sur les </w:t>
      </w:r>
      <w:r w:rsidR="009749B2">
        <w:rPr>
          <w:rFonts w:asciiTheme="minorHAnsi" w:hAnsiTheme="minorHAnsi" w:cstheme="minorHAnsi"/>
        </w:rPr>
        <w:t>Falcon, le R</w:t>
      </w:r>
      <w:r w:rsidR="004F722B">
        <w:rPr>
          <w:rFonts w:asciiTheme="minorHAnsi" w:hAnsiTheme="minorHAnsi" w:cstheme="minorHAnsi"/>
        </w:rPr>
        <w:t xml:space="preserve">afale, </w:t>
      </w:r>
      <w:r>
        <w:rPr>
          <w:rFonts w:asciiTheme="minorHAnsi" w:hAnsiTheme="minorHAnsi" w:cstheme="minorHAnsi"/>
        </w:rPr>
        <w:t xml:space="preserve">l’entreprise, …), accompagner sur les outils de la société </w:t>
      </w:r>
      <w:r w:rsidR="005D0DFB">
        <w:rPr>
          <w:rFonts w:asciiTheme="minorHAnsi" w:hAnsiTheme="minorHAnsi" w:cstheme="minorHAnsi"/>
        </w:rPr>
        <w:t xml:space="preserve">et son </w:t>
      </w:r>
      <w:r>
        <w:rPr>
          <w:rFonts w:asciiTheme="minorHAnsi" w:hAnsiTheme="minorHAnsi" w:cstheme="minorHAnsi"/>
        </w:rPr>
        <w:t xml:space="preserve">organisation </w:t>
      </w:r>
      <w:r w:rsidR="005D0DFB">
        <w:rPr>
          <w:rFonts w:asciiTheme="minorHAnsi" w:hAnsiTheme="minorHAnsi" w:cstheme="minorHAnsi"/>
        </w:rPr>
        <w:t xml:space="preserve">(ARP, OGA, </w:t>
      </w:r>
      <w:r>
        <w:rPr>
          <w:rFonts w:asciiTheme="minorHAnsi" w:hAnsiTheme="minorHAnsi" w:cstheme="minorHAnsi"/>
        </w:rPr>
        <w:t xml:space="preserve">..), propositions de visites des établissements à commencer par l’établissement d’embauche, propositions de travailler quelques semaines/mois sur un autre poste permettant de mieux comprendre son futur métier (exemple : se déplacer sur la production composite de Biarritz avant de travailler en conception composite sur Saint Cloud), </w:t>
      </w:r>
      <w:r w:rsidRPr="0018693E">
        <w:rPr>
          <w:rFonts w:asciiTheme="minorHAnsi" w:hAnsiTheme="minorHAnsi" w:cstheme="minorHAnsi"/>
          <w:i/>
        </w:rPr>
        <w:t>etc.</w:t>
      </w:r>
    </w:p>
    <w:p w:rsidR="00DA21BE" w:rsidRDefault="00DA21BE" w:rsidP="002224FD">
      <w:pPr>
        <w:rPr>
          <w:rFonts w:asciiTheme="minorHAnsi" w:hAnsiTheme="minorHAnsi" w:cstheme="minorHAnsi"/>
        </w:rPr>
      </w:pPr>
    </w:p>
    <w:sectPr w:rsidR="00DA21BE" w:rsidSect="0010556A">
      <w:headerReference w:type="default" r:id="rId8"/>
      <w:pgSz w:w="11906" w:h="16838"/>
      <w:pgMar w:top="28" w:right="1418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B9" w:rsidRDefault="009119B9" w:rsidP="0088567E">
      <w:r>
        <w:separator/>
      </w:r>
    </w:p>
  </w:endnote>
  <w:endnote w:type="continuationSeparator" w:id="0">
    <w:p w:rsidR="009119B9" w:rsidRDefault="009119B9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B9" w:rsidRDefault="009119B9" w:rsidP="0088567E">
      <w:r>
        <w:separator/>
      </w:r>
    </w:p>
  </w:footnote>
  <w:footnote w:type="continuationSeparator" w:id="0">
    <w:p w:rsidR="009119B9" w:rsidRDefault="009119B9" w:rsidP="0088567E">
      <w:r>
        <w:continuationSeparator/>
      </w:r>
    </w:p>
  </w:footnote>
  <w:footnote w:id="1">
    <w:p w:rsidR="00DA21BE" w:rsidRDefault="00DA21BE">
      <w:pPr>
        <w:pStyle w:val="Notedebasdepage"/>
      </w:pPr>
      <w:r>
        <w:rPr>
          <w:rStyle w:val="Appelnotedebasdep"/>
        </w:rPr>
        <w:footnoteRef/>
      </w:r>
      <w:r>
        <w:t xml:space="preserve"> Document DRH – Commission Etudes Emploi – Egalité professionnelle 19/04/2023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-1202055</wp:posOffset>
          </wp:positionH>
          <wp:positionV relativeFrom="paragraph">
            <wp:posOffset>140970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3419"/>
    <w:multiLevelType w:val="hybridMultilevel"/>
    <w:tmpl w:val="2E723622"/>
    <w:lvl w:ilvl="0" w:tplc="E4E4A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260CA"/>
    <w:rsid w:val="00034FB7"/>
    <w:rsid w:val="0004230D"/>
    <w:rsid w:val="00051FAF"/>
    <w:rsid w:val="00052DF5"/>
    <w:rsid w:val="00061FD8"/>
    <w:rsid w:val="00065C46"/>
    <w:rsid w:val="000716A6"/>
    <w:rsid w:val="0009348C"/>
    <w:rsid w:val="00093527"/>
    <w:rsid w:val="000944AD"/>
    <w:rsid w:val="00096E1F"/>
    <w:rsid w:val="000A57F3"/>
    <w:rsid w:val="000C0232"/>
    <w:rsid w:val="000D5D2D"/>
    <w:rsid w:val="000E61E7"/>
    <w:rsid w:val="000F73D0"/>
    <w:rsid w:val="0010164C"/>
    <w:rsid w:val="00103E4B"/>
    <w:rsid w:val="0010556A"/>
    <w:rsid w:val="001068A9"/>
    <w:rsid w:val="00107204"/>
    <w:rsid w:val="0011114C"/>
    <w:rsid w:val="00127131"/>
    <w:rsid w:val="00132A5C"/>
    <w:rsid w:val="00154941"/>
    <w:rsid w:val="00157E07"/>
    <w:rsid w:val="00170AF3"/>
    <w:rsid w:val="00172CCF"/>
    <w:rsid w:val="0017591A"/>
    <w:rsid w:val="0018693E"/>
    <w:rsid w:val="00192A82"/>
    <w:rsid w:val="001938B4"/>
    <w:rsid w:val="001A3606"/>
    <w:rsid w:val="001A7291"/>
    <w:rsid w:val="001A7E21"/>
    <w:rsid w:val="001B43CD"/>
    <w:rsid w:val="001D2819"/>
    <w:rsid w:val="001F1FB9"/>
    <w:rsid w:val="001F2530"/>
    <w:rsid w:val="00204C53"/>
    <w:rsid w:val="00206FDA"/>
    <w:rsid w:val="0022110C"/>
    <w:rsid w:val="002224FD"/>
    <w:rsid w:val="00223B64"/>
    <w:rsid w:val="00226D61"/>
    <w:rsid w:val="00233E10"/>
    <w:rsid w:val="002447B9"/>
    <w:rsid w:val="00250A52"/>
    <w:rsid w:val="00250F7B"/>
    <w:rsid w:val="00260D8D"/>
    <w:rsid w:val="00283862"/>
    <w:rsid w:val="00285535"/>
    <w:rsid w:val="002A0AFE"/>
    <w:rsid w:val="002A5BE2"/>
    <w:rsid w:val="002B2F29"/>
    <w:rsid w:val="002B7926"/>
    <w:rsid w:val="002D0241"/>
    <w:rsid w:val="002D17E8"/>
    <w:rsid w:val="002D1AD8"/>
    <w:rsid w:val="002F0272"/>
    <w:rsid w:val="00302A06"/>
    <w:rsid w:val="00310175"/>
    <w:rsid w:val="00313BAF"/>
    <w:rsid w:val="00314F4B"/>
    <w:rsid w:val="00325348"/>
    <w:rsid w:val="0032677A"/>
    <w:rsid w:val="00331092"/>
    <w:rsid w:val="00334E6C"/>
    <w:rsid w:val="00340EBC"/>
    <w:rsid w:val="00341EAC"/>
    <w:rsid w:val="0034280C"/>
    <w:rsid w:val="00370F97"/>
    <w:rsid w:val="00380373"/>
    <w:rsid w:val="003841CB"/>
    <w:rsid w:val="0038570A"/>
    <w:rsid w:val="00387E49"/>
    <w:rsid w:val="0039773D"/>
    <w:rsid w:val="003B5DB6"/>
    <w:rsid w:val="003C18E4"/>
    <w:rsid w:val="003C36BA"/>
    <w:rsid w:val="003C4FA1"/>
    <w:rsid w:val="003D1EEA"/>
    <w:rsid w:val="003D2C1B"/>
    <w:rsid w:val="003D327C"/>
    <w:rsid w:val="003F3186"/>
    <w:rsid w:val="004162E5"/>
    <w:rsid w:val="00426EAB"/>
    <w:rsid w:val="00452249"/>
    <w:rsid w:val="004759F2"/>
    <w:rsid w:val="00484FDF"/>
    <w:rsid w:val="004A0644"/>
    <w:rsid w:val="004B024D"/>
    <w:rsid w:val="004B450F"/>
    <w:rsid w:val="004B7FB7"/>
    <w:rsid w:val="004D23F3"/>
    <w:rsid w:val="004D6C6E"/>
    <w:rsid w:val="004E7FBA"/>
    <w:rsid w:val="004F722B"/>
    <w:rsid w:val="00501A59"/>
    <w:rsid w:val="00507C82"/>
    <w:rsid w:val="00512FDA"/>
    <w:rsid w:val="005341C1"/>
    <w:rsid w:val="00567F8E"/>
    <w:rsid w:val="00575C32"/>
    <w:rsid w:val="00581B55"/>
    <w:rsid w:val="00594F31"/>
    <w:rsid w:val="00596554"/>
    <w:rsid w:val="005A61D2"/>
    <w:rsid w:val="005B1D31"/>
    <w:rsid w:val="005D0DFB"/>
    <w:rsid w:val="005D193C"/>
    <w:rsid w:val="005D37DE"/>
    <w:rsid w:val="005D5E4C"/>
    <w:rsid w:val="005E15A7"/>
    <w:rsid w:val="005E4431"/>
    <w:rsid w:val="005E4872"/>
    <w:rsid w:val="005F0A38"/>
    <w:rsid w:val="005F1237"/>
    <w:rsid w:val="005F4FA4"/>
    <w:rsid w:val="005F52E0"/>
    <w:rsid w:val="006022B2"/>
    <w:rsid w:val="0060594A"/>
    <w:rsid w:val="0061072F"/>
    <w:rsid w:val="006232BC"/>
    <w:rsid w:val="00625FA4"/>
    <w:rsid w:val="00626E2D"/>
    <w:rsid w:val="0063681D"/>
    <w:rsid w:val="00640309"/>
    <w:rsid w:val="00666965"/>
    <w:rsid w:val="00677601"/>
    <w:rsid w:val="00680F58"/>
    <w:rsid w:val="00697AEB"/>
    <w:rsid w:val="006C5BC8"/>
    <w:rsid w:val="006D14AE"/>
    <w:rsid w:val="006D48E6"/>
    <w:rsid w:val="006F3868"/>
    <w:rsid w:val="00702D7D"/>
    <w:rsid w:val="007059A9"/>
    <w:rsid w:val="00714787"/>
    <w:rsid w:val="00746DB1"/>
    <w:rsid w:val="00774F38"/>
    <w:rsid w:val="007844CB"/>
    <w:rsid w:val="00785077"/>
    <w:rsid w:val="007A4C57"/>
    <w:rsid w:val="007B60BE"/>
    <w:rsid w:val="007C038B"/>
    <w:rsid w:val="007C1DA8"/>
    <w:rsid w:val="007F28D7"/>
    <w:rsid w:val="007F4E25"/>
    <w:rsid w:val="00807FC3"/>
    <w:rsid w:val="00816184"/>
    <w:rsid w:val="00824FE3"/>
    <w:rsid w:val="0083018E"/>
    <w:rsid w:val="00835823"/>
    <w:rsid w:val="0085112B"/>
    <w:rsid w:val="008702AD"/>
    <w:rsid w:val="0088567E"/>
    <w:rsid w:val="008924DF"/>
    <w:rsid w:val="008A11CA"/>
    <w:rsid w:val="008A3B39"/>
    <w:rsid w:val="008C1AC2"/>
    <w:rsid w:val="008C6CCA"/>
    <w:rsid w:val="008D12DE"/>
    <w:rsid w:val="008E44F8"/>
    <w:rsid w:val="008E5112"/>
    <w:rsid w:val="008F5C97"/>
    <w:rsid w:val="0090363A"/>
    <w:rsid w:val="009119B9"/>
    <w:rsid w:val="00920E8F"/>
    <w:rsid w:val="009274D2"/>
    <w:rsid w:val="009379F0"/>
    <w:rsid w:val="00947505"/>
    <w:rsid w:val="00947DAD"/>
    <w:rsid w:val="00957296"/>
    <w:rsid w:val="009575DB"/>
    <w:rsid w:val="00971EDE"/>
    <w:rsid w:val="009749B2"/>
    <w:rsid w:val="00977C72"/>
    <w:rsid w:val="00996002"/>
    <w:rsid w:val="009A03E5"/>
    <w:rsid w:val="009A5BDD"/>
    <w:rsid w:val="009A7D79"/>
    <w:rsid w:val="009B4D6B"/>
    <w:rsid w:val="009C6E4C"/>
    <w:rsid w:val="009C7DED"/>
    <w:rsid w:val="009D0ACB"/>
    <w:rsid w:val="009D4DD7"/>
    <w:rsid w:val="009D6423"/>
    <w:rsid w:val="009E3C0F"/>
    <w:rsid w:val="009E531E"/>
    <w:rsid w:val="009E5FEE"/>
    <w:rsid w:val="009E6E87"/>
    <w:rsid w:val="00A070EC"/>
    <w:rsid w:val="00A16AB8"/>
    <w:rsid w:val="00A270A6"/>
    <w:rsid w:val="00A27645"/>
    <w:rsid w:val="00A351B8"/>
    <w:rsid w:val="00A357BE"/>
    <w:rsid w:val="00A35885"/>
    <w:rsid w:val="00A448BC"/>
    <w:rsid w:val="00A637E2"/>
    <w:rsid w:val="00A85391"/>
    <w:rsid w:val="00AB0038"/>
    <w:rsid w:val="00AB0828"/>
    <w:rsid w:val="00AC67D0"/>
    <w:rsid w:val="00AD4044"/>
    <w:rsid w:val="00AE196D"/>
    <w:rsid w:val="00B03AD9"/>
    <w:rsid w:val="00B14E5E"/>
    <w:rsid w:val="00B34D64"/>
    <w:rsid w:val="00B42CDF"/>
    <w:rsid w:val="00B43023"/>
    <w:rsid w:val="00B60B37"/>
    <w:rsid w:val="00B67AB5"/>
    <w:rsid w:val="00B720E7"/>
    <w:rsid w:val="00B72B83"/>
    <w:rsid w:val="00B8034C"/>
    <w:rsid w:val="00B92F27"/>
    <w:rsid w:val="00B95868"/>
    <w:rsid w:val="00BB107A"/>
    <w:rsid w:val="00BC017C"/>
    <w:rsid w:val="00BC4744"/>
    <w:rsid w:val="00BE32D9"/>
    <w:rsid w:val="00BF4F4E"/>
    <w:rsid w:val="00C04D58"/>
    <w:rsid w:val="00C0691E"/>
    <w:rsid w:val="00C15F9C"/>
    <w:rsid w:val="00C26894"/>
    <w:rsid w:val="00C37432"/>
    <w:rsid w:val="00C45784"/>
    <w:rsid w:val="00C77852"/>
    <w:rsid w:val="00C829F4"/>
    <w:rsid w:val="00C844D0"/>
    <w:rsid w:val="00C928B2"/>
    <w:rsid w:val="00C9510D"/>
    <w:rsid w:val="00CB48F1"/>
    <w:rsid w:val="00CE7216"/>
    <w:rsid w:val="00CF3302"/>
    <w:rsid w:val="00CF3C7A"/>
    <w:rsid w:val="00D21487"/>
    <w:rsid w:val="00D3198C"/>
    <w:rsid w:val="00D325D8"/>
    <w:rsid w:val="00D50C48"/>
    <w:rsid w:val="00D512BF"/>
    <w:rsid w:val="00D721E3"/>
    <w:rsid w:val="00DA21BE"/>
    <w:rsid w:val="00DA3248"/>
    <w:rsid w:val="00DA5649"/>
    <w:rsid w:val="00DA762E"/>
    <w:rsid w:val="00DB462D"/>
    <w:rsid w:val="00DC201D"/>
    <w:rsid w:val="00DC41F9"/>
    <w:rsid w:val="00DD5208"/>
    <w:rsid w:val="00DE7A6D"/>
    <w:rsid w:val="00DF245A"/>
    <w:rsid w:val="00DF6B74"/>
    <w:rsid w:val="00E00D48"/>
    <w:rsid w:val="00E028F3"/>
    <w:rsid w:val="00E15A71"/>
    <w:rsid w:val="00E2262E"/>
    <w:rsid w:val="00E440F1"/>
    <w:rsid w:val="00E45EF4"/>
    <w:rsid w:val="00E521D2"/>
    <w:rsid w:val="00E72622"/>
    <w:rsid w:val="00E77561"/>
    <w:rsid w:val="00E87655"/>
    <w:rsid w:val="00E941EE"/>
    <w:rsid w:val="00EC6049"/>
    <w:rsid w:val="00ED2E44"/>
    <w:rsid w:val="00EE2054"/>
    <w:rsid w:val="00EE4972"/>
    <w:rsid w:val="00EF3CE1"/>
    <w:rsid w:val="00EF71F7"/>
    <w:rsid w:val="00F13907"/>
    <w:rsid w:val="00F14645"/>
    <w:rsid w:val="00F27CEC"/>
    <w:rsid w:val="00F314FC"/>
    <w:rsid w:val="00F6146B"/>
    <w:rsid w:val="00F71855"/>
    <w:rsid w:val="00F75E75"/>
    <w:rsid w:val="00F94CC0"/>
    <w:rsid w:val="00FB65C2"/>
    <w:rsid w:val="00FE67E3"/>
    <w:rsid w:val="00FF42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F5"/>
    <w:rPr>
      <w:rFonts w:ascii="Arial" w:hAnsi="Arial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1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131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127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D8DD-32BA-496D-BDD2-6F2B941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2023-02-21T10:15:00Z</cp:lastPrinted>
  <dcterms:created xsi:type="dcterms:W3CDTF">2023-04-19T13:23:00Z</dcterms:created>
  <dcterms:modified xsi:type="dcterms:W3CDTF">2023-04-19T13:23:00Z</dcterms:modified>
</cp:coreProperties>
</file>