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29" w:rsidRDefault="00FC15BF">
      <w:pPr>
        <w:spacing w:after="0" w:line="259" w:lineRule="auto"/>
        <w:ind w:left="472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</w:p>
    <w:p w:rsidR="00523D29" w:rsidRDefault="00FC15BF">
      <w:pPr>
        <w:spacing w:after="43" w:line="259" w:lineRule="auto"/>
        <w:ind w:left="124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-47306</wp:posOffset>
            </wp:positionH>
            <wp:positionV relativeFrom="paragraph">
              <wp:posOffset>-5643</wp:posOffset>
            </wp:positionV>
            <wp:extent cx="752475" cy="1114425"/>
            <wp:effectExtent l="0" t="0" r="0" b="0"/>
            <wp:wrapSquare wrapText="bothSides"/>
            <wp:docPr id="606" name="Picture 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</w:p>
    <w:p w:rsidR="00523D29" w:rsidRDefault="00FC15BF">
      <w:pPr>
        <w:tabs>
          <w:tab w:val="center" w:pos="1779"/>
          <w:tab w:val="center" w:pos="4742"/>
        </w:tabs>
        <w:spacing w:after="70"/>
        <w:ind w:left="0" w:firstLine="0"/>
        <w:jc w:val="left"/>
      </w:pPr>
      <w:r>
        <w:rPr>
          <w:sz w:val="22"/>
        </w:rPr>
        <w:tab/>
      </w:r>
      <w:r>
        <w:rPr>
          <w:b/>
          <w:sz w:val="26"/>
        </w:rPr>
        <w:t>Union</w:t>
      </w:r>
      <w:r>
        <w:rPr>
          <w:sz w:val="26"/>
        </w:rPr>
        <w:t xml:space="preserve"> des  </w:t>
      </w: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523D29" w:rsidRDefault="00FC15BF">
      <w:pPr>
        <w:tabs>
          <w:tab w:val="center" w:pos="1965"/>
          <w:tab w:val="center" w:pos="4742"/>
        </w:tabs>
        <w:spacing w:after="0"/>
        <w:ind w:left="0" w:firstLine="0"/>
        <w:jc w:val="left"/>
      </w:pPr>
      <w:r>
        <w:rPr>
          <w:sz w:val="22"/>
        </w:rPr>
        <w:tab/>
      </w:r>
      <w:r>
        <w:rPr>
          <w:b/>
          <w:sz w:val="26"/>
        </w:rPr>
        <w:t>Syndicats</w:t>
      </w:r>
      <w:r>
        <w:rPr>
          <w:sz w:val="26"/>
        </w:rPr>
        <w:t xml:space="preserve"> des  </w:t>
      </w:r>
      <w:r>
        <w:rPr>
          <w:sz w:val="26"/>
        </w:rPr>
        <w:tab/>
      </w: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 </w:t>
      </w:r>
    </w:p>
    <w:p w:rsidR="00523D29" w:rsidRDefault="00FC15BF">
      <w:pPr>
        <w:spacing w:after="0" w:line="259" w:lineRule="auto"/>
        <w:ind w:left="0" w:right="582" w:firstLine="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523D29" w:rsidRDefault="00FC15BF">
      <w:pPr>
        <w:spacing w:after="0"/>
        <w:ind w:left="10" w:right="5693"/>
        <w:jc w:val="left"/>
      </w:pPr>
      <w:r>
        <w:rPr>
          <w:b/>
          <w:sz w:val="26"/>
        </w:rPr>
        <w:t>Travailleurs</w:t>
      </w:r>
      <w:r>
        <w:rPr>
          <w:sz w:val="26"/>
        </w:rPr>
        <w:t xml:space="preserve"> de la  </w:t>
      </w:r>
      <w:r>
        <w:rPr>
          <w:b/>
          <w:sz w:val="26"/>
        </w:rPr>
        <w:t>Métallurgie</w:t>
      </w:r>
      <w:r>
        <w:rPr>
          <w:sz w:val="26"/>
        </w:rPr>
        <w:t xml:space="preserve"> de la </w:t>
      </w:r>
      <w:r>
        <w:rPr>
          <w:b/>
          <w:sz w:val="26"/>
        </w:rPr>
        <w:t xml:space="preserve">Gironde </w:t>
      </w:r>
      <w:r>
        <w:rPr>
          <w:sz w:val="26"/>
        </w:rPr>
        <w:t xml:space="preserve"> </w:t>
      </w:r>
    </w:p>
    <w:p w:rsidR="00523D29" w:rsidRDefault="00FC15BF">
      <w:pPr>
        <w:spacing w:after="139" w:line="259" w:lineRule="auto"/>
        <w:ind w:left="1108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523D29" w:rsidRDefault="00FC15BF">
      <w:pPr>
        <w:spacing w:after="1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2"/>
        </w:rPr>
        <w:t xml:space="preserve"> </w:t>
      </w:r>
    </w:p>
    <w:p w:rsidR="00523D29" w:rsidRDefault="00FC15BF">
      <w:pPr>
        <w:spacing w:after="3" w:line="259" w:lineRule="auto"/>
        <w:ind w:left="-5"/>
        <w:jc w:val="left"/>
      </w:pPr>
      <w:r>
        <w:rPr>
          <w:b/>
        </w:rPr>
        <w:t xml:space="preserve">Compte rendu de l’audience qui a eu lieu le mardi 21 juin 2022 au tribunal judiciaire, rue des frères Bonies à Bordeaux.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23D29" w:rsidRDefault="00FC15B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23D29" w:rsidRDefault="00FC15BF">
      <w:pPr>
        <w:spacing w:after="3" w:line="259" w:lineRule="auto"/>
        <w:ind w:left="-5"/>
        <w:jc w:val="left"/>
      </w:pPr>
      <w:r>
        <w:rPr>
          <w:b/>
        </w:rPr>
        <w:t xml:space="preserve">Présents :  </w:t>
      </w:r>
    </w:p>
    <w:p w:rsidR="00523D29" w:rsidRDefault="00FC15BF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523D29" w:rsidRDefault="00FC15BF">
      <w:pPr>
        <w:numPr>
          <w:ilvl w:val="0"/>
          <w:numId w:val="1"/>
        </w:numPr>
        <w:spacing w:after="68"/>
        <w:ind w:right="2215" w:hanging="360"/>
      </w:pPr>
      <w:r>
        <w:t>CGT :</w:t>
      </w:r>
      <w:r>
        <w:t xml:space="preserve"> Maître REPPESE du barreau de Paris - Lionel Gaillard (Magna) - Guillaume </w:t>
      </w:r>
      <w:proofErr w:type="spellStart"/>
      <w:r>
        <w:t>Irasque</w:t>
      </w:r>
      <w:proofErr w:type="spellEnd"/>
      <w:r>
        <w:t xml:space="preserve"> (</w:t>
      </w:r>
      <w:proofErr w:type="spellStart"/>
      <w:r>
        <w:t>Stryker</w:t>
      </w:r>
      <w:proofErr w:type="spellEnd"/>
      <w:r>
        <w:t xml:space="preserve">) </w:t>
      </w:r>
    </w:p>
    <w:p w:rsidR="00523D29" w:rsidRDefault="00FC15BF">
      <w:pPr>
        <w:numPr>
          <w:ilvl w:val="0"/>
          <w:numId w:val="1"/>
        </w:numPr>
        <w:spacing w:line="313" w:lineRule="auto"/>
        <w:ind w:right="2215" w:hanging="360"/>
      </w:pPr>
      <w:r>
        <w:t xml:space="preserve">CFE CGC ; CFDT ; FO : un avocat pour les trois organisations syndicales plus 4 personnes.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UIMM : 10 personnes </w:t>
      </w:r>
    </w:p>
    <w:p w:rsidR="00523D29" w:rsidRDefault="00FC15B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23D29" w:rsidRDefault="00FC15BF">
      <w:pPr>
        <w:ind w:left="-5"/>
      </w:pPr>
      <w:r>
        <w:t>L’audience qui nous oppos</w:t>
      </w:r>
      <w:r>
        <w:t xml:space="preserve">e au patronat sur </w:t>
      </w:r>
      <w:r>
        <w:t>l’avenant</w:t>
      </w:r>
      <w:r>
        <w:t xml:space="preserve"> de « révision extinction » du 28 Mars 2022 signé par 3 organisations syndicales, avait lieu le mardi 21 juin 2022. </w:t>
      </w:r>
    </w:p>
    <w:p w:rsidR="00523D29" w:rsidRDefault="00FC15BF">
      <w:pPr>
        <w:spacing w:after="3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523D29" w:rsidRDefault="00FC15BF">
      <w:pPr>
        <w:ind w:left="-5"/>
      </w:pPr>
      <w:r>
        <w:t xml:space="preserve">Pour la CGT, un accord ne peut pas être révisé car la loi ne comporte aucun texte dans ce sens. </w:t>
      </w:r>
    </w:p>
    <w:p w:rsidR="00523D29" w:rsidRDefault="00FC15BF">
      <w:pPr>
        <w:ind w:left="-5"/>
      </w:pPr>
      <w:r>
        <w:t>Un accord peut être dénoncé par</w:t>
      </w:r>
      <w:r>
        <w:t xml:space="preserve"> une ou plusieurs parties, ce qui lance une procédure de négociation de 15 mois maximum. Or, </w:t>
      </w:r>
      <w:r>
        <w:t>l’UIMM</w:t>
      </w:r>
      <w:r>
        <w:t xml:space="preserve">, dans un souci de rapidité, a préféré faire signer un avenant de « révision extinction » aux autres organisations syndicales. </w:t>
      </w:r>
    </w:p>
    <w:p w:rsidR="00523D29" w:rsidRDefault="00FC15BF">
      <w:pPr>
        <w:ind w:left="-5"/>
      </w:pPr>
      <w:r>
        <w:t>Ainsi, cela annule notre conv</w:t>
      </w:r>
      <w:r>
        <w:t xml:space="preserve">ention collective de territoire et la possibilité de négocier pendant 15 mois, un accord autonome. </w:t>
      </w:r>
    </w:p>
    <w:p w:rsidR="00523D29" w:rsidRDefault="00FC15BF">
      <w:pPr>
        <w:spacing w:after="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23D29" w:rsidRDefault="00FC15BF">
      <w:pPr>
        <w:ind w:left="-5"/>
      </w:pPr>
      <w:r>
        <w:t xml:space="preserve">Les plaidoiries sont très techniques donc elles sont difficiles à retranscrire, </w:t>
      </w:r>
      <w:r>
        <w:t>d’autant plus que</w:t>
      </w:r>
      <w:r>
        <w:t xml:space="preserve"> la CGT a dû faire face à la fois à </w:t>
      </w:r>
      <w:r>
        <w:t>l’avocat de</w:t>
      </w:r>
      <w:r>
        <w:t xml:space="preserve"> </w:t>
      </w:r>
      <w:r>
        <w:t>l’UIMM et</w:t>
      </w:r>
      <w:r>
        <w:t xml:space="preserve"> à celui des autres organisations syndicales. </w:t>
      </w:r>
    </w:p>
    <w:p w:rsidR="00523D29" w:rsidRDefault="00FC15BF">
      <w:pPr>
        <w:spacing w:after="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23D29" w:rsidRDefault="00FC15BF">
      <w:pPr>
        <w:spacing w:after="116"/>
        <w:ind w:left="-5"/>
      </w:pPr>
      <w:r>
        <w:t>L</w:t>
      </w:r>
      <w:r>
        <w:t>’</w:t>
      </w:r>
      <w:r>
        <w:t>UIMM, qui s</w:t>
      </w:r>
      <w:r>
        <w:t>’est déplac</w:t>
      </w:r>
      <w:r>
        <w:t xml:space="preserve">ée en masse, ne comprend pas la démarche de la CGT et pense même que la CGT veut « se faire plaisir » au niveau juridique, sans réel fondement. </w:t>
      </w:r>
    </w:p>
    <w:p w:rsidR="00523D29" w:rsidRDefault="00FC15BF">
      <w:pPr>
        <w:spacing w:after="112"/>
        <w:ind w:left="-5"/>
      </w:pPr>
      <w:r>
        <w:t xml:space="preserve">Leur avocat remet en cause </w:t>
      </w:r>
      <w:r>
        <w:t>l’argumentaire de la CGT</w:t>
      </w:r>
      <w:r>
        <w:t xml:space="preserve">, en indiquant que tout accord peut être attaqué pour divers motifs comme un contrat basique, tout en occultant de parler des 15 mois de négociation que parcourt cet avenant de « révision extinction ». </w:t>
      </w:r>
    </w:p>
    <w:p w:rsidR="00523D29" w:rsidRDefault="00FC15BF">
      <w:pPr>
        <w:ind w:left="-5"/>
      </w:pPr>
      <w:r>
        <w:t>Il indique également que de r</w:t>
      </w:r>
      <w:r>
        <w:t xml:space="preserve">éviser les accords </w:t>
      </w:r>
      <w:r>
        <w:t>en territoire c’est possible</w:t>
      </w:r>
      <w:r>
        <w:t>, mais dans des conditions exceptionnelles comme le passage sous la convention collective nationale et que celle-ci est une bonne chose pour les salarié</w:t>
      </w:r>
      <w:r>
        <w:t>s…</w:t>
      </w:r>
      <w:r>
        <w:t xml:space="preserve"> </w:t>
      </w:r>
    </w:p>
    <w:p w:rsidR="00523D29" w:rsidRDefault="00FC15BF">
      <w:pPr>
        <w:spacing w:after="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23D29" w:rsidRDefault="00FC15BF">
      <w:pPr>
        <w:ind w:left="-5"/>
      </w:pPr>
      <w:r>
        <w:t>Pour la CFE CGC, la FO et la CFDT qui ont été repré</w:t>
      </w:r>
      <w:r>
        <w:t xml:space="preserve">sentées par le même avocat, </w:t>
      </w:r>
      <w:r>
        <w:t>il n’y a pas de soucis</w:t>
      </w:r>
      <w:r>
        <w:t xml:space="preserve"> de reprendre la convention collective nationale qui rendra plus lisible à la lecture, </w:t>
      </w:r>
      <w:r>
        <w:t xml:space="preserve">que d’avoir 78 conventions collectives en rendant le dialogue social plus </w:t>
      </w:r>
      <w:r>
        <w:t xml:space="preserve">simple. </w:t>
      </w:r>
    </w:p>
    <w:p w:rsidR="00523D29" w:rsidRDefault="00FC15BF">
      <w:pPr>
        <w:ind w:left="-5"/>
      </w:pPr>
      <w:r>
        <w:t>L’</w:t>
      </w:r>
      <w:r>
        <w:t xml:space="preserve">avocat de la CFE CGC, la FO et la </w:t>
      </w:r>
      <w:r>
        <w:t xml:space="preserve">CFDT </w:t>
      </w:r>
      <w:r>
        <w:t xml:space="preserve">a fustigé l’accord autonome </w:t>
      </w:r>
      <w:r>
        <w:t xml:space="preserve">que la CGT a demandé, en imageant une traversée du désert où </w:t>
      </w:r>
      <w:r>
        <w:t>nous n’étions même pas</w:t>
      </w:r>
      <w:r>
        <w:t xml:space="preserve"> sûr de trouver sur son chemin, une oasis ! </w:t>
      </w:r>
    </w:p>
    <w:p w:rsidR="00523D29" w:rsidRDefault="00FC15BF">
      <w:pPr>
        <w:ind w:left="-5"/>
      </w:pPr>
      <w:r>
        <w:t xml:space="preserve">Il faut rappeler que ce sont des organisations responsables et </w:t>
      </w:r>
      <w:r>
        <w:t>qu’</w:t>
      </w:r>
      <w:r>
        <w:t>elles étaient représentatives</w:t>
      </w:r>
      <w:r>
        <w:t xml:space="preserve"> à 70%. </w:t>
      </w:r>
    </w:p>
    <w:p w:rsidR="00523D29" w:rsidRDefault="00FC15BF">
      <w:pPr>
        <w:spacing w:after="3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523D29" w:rsidRDefault="00FC15BF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L’avis de la CGT et de la délégation</w:t>
      </w:r>
      <w:r>
        <w:rPr>
          <w:b/>
        </w:rPr>
        <w:t xml:space="preserve"> : </w:t>
      </w:r>
    </w:p>
    <w:p w:rsidR="00523D29" w:rsidRDefault="00FC15BF">
      <w:pPr>
        <w:spacing w:after="2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23D29" w:rsidRDefault="00FC15BF">
      <w:pPr>
        <w:ind w:left="-5"/>
      </w:pPr>
      <w:r>
        <w:t>L</w:t>
      </w:r>
      <w:r>
        <w:t xml:space="preserve">’argumentaire technique et </w:t>
      </w:r>
      <w:r>
        <w:t xml:space="preserve">les termes juridiques ne vont pas nous réconcilier avec la justice. </w:t>
      </w:r>
    </w:p>
    <w:p w:rsidR="00FC15BF" w:rsidRDefault="00FC15BF" w:rsidP="00FC15BF">
      <w:pPr>
        <w:spacing w:after="3" w:line="259" w:lineRule="auto"/>
        <w:ind w:left="0" w:firstLine="0"/>
        <w:jc w:val="left"/>
      </w:pPr>
      <w:r>
        <w:t xml:space="preserve">L’UIMM </w:t>
      </w:r>
      <w:r>
        <w:t xml:space="preserve">a </w:t>
      </w:r>
      <w:r>
        <w:t>tellement bien manipulé les autres organisations que la plaidoirie de l’avocat de</w:t>
      </w:r>
      <w:r>
        <w:t xml:space="preserve"> la CFE CGC, </w:t>
      </w:r>
      <w:r>
        <w:t>la FO et la CFDT s</w:t>
      </w:r>
      <w:r>
        <w:t xml:space="preserve">’est </w:t>
      </w:r>
      <w:r>
        <w:t xml:space="preserve">appuyé plusieurs fois </w:t>
      </w:r>
      <w:r>
        <w:t>sur les propos de l’avocat de l’</w:t>
      </w:r>
      <w:r>
        <w:t xml:space="preserve">UIMM, ce qui est un comble venant de syndicats défendant la classe ouvrière. </w:t>
      </w:r>
    </w:p>
    <w:p w:rsidR="00523D29" w:rsidRDefault="00FC15BF" w:rsidP="00FC15BF">
      <w:pPr>
        <w:spacing w:after="3" w:line="259" w:lineRule="auto"/>
        <w:ind w:left="0" w:firstLine="0"/>
        <w:jc w:val="left"/>
      </w:pPr>
      <w:bookmarkStart w:id="0" w:name="_GoBack"/>
      <w:bookmarkEnd w:id="0"/>
      <w:r>
        <w:lastRenderedPageBreak/>
        <w:t xml:space="preserve">Ce qui doit nous interpeller, </w:t>
      </w:r>
      <w:r>
        <w:t>c’est premièrement</w:t>
      </w:r>
      <w:r>
        <w:t>, que les 3 organisations viennent avec le même avo</w:t>
      </w:r>
      <w:r>
        <w:t xml:space="preserve">cat. </w:t>
      </w:r>
    </w:p>
    <w:p w:rsidR="00523D29" w:rsidRDefault="00FC15BF">
      <w:pPr>
        <w:ind w:left="-5"/>
      </w:pPr>
      <w:r>
        <w:t xml:space="preserve">Le rapprochement de ces 3 instances doit nous préparer dans nos entreprises à voir émerger des alliances sur les futures négociations du champ conventionnel. </w:t>
      </w:r>
    </w:p>
    <w:p w:rsidR="00523D29" w:rsidRDefault="00FC15BF">
      <w:pPr>
        <w:ind w:left="-5"/>
      </w:pPr>
      <w:r>
        <w:t xml:space="preserve">Mais aussi, </w:t>
      </w:r>
      <w:r>
        <w:t>c’est le point le plus important</w:t>
      </w:r>
      <w:r>
        <w:t xml:space="preserve"> : la CFE CGC, la FO et la CFDT ont balayé </w:t>
      </w:r>
      <w:r>
        <w:t>d’un</w:t>
      </w:r>
      <w:r>
        <w:t xml:space="preserve"> </w:t>
      </w:r>
      <w:r>
        <w:t xml:space="preserve">revers de main </w:t>
      </w:r>
      <w:r>
        <w:t>en signant l’a</w:t>
      </w:r>
      <w:r>
        <w:t xml:space="preserve">venant de « révision extinction » avec la possibilité de négocier un accord autonome sous </w:t>
      </w:r>
      <w:r>
        <w:t>prétexte que l’on va traverser le désert…</w:t>
      </w:r>
      <w:r>
        <w:t xml:space="preserve"> </w:t>
      </w:r>
    </w:p>
    <w:p w:rsidR="00523D29" w:rsidRDefault="00FC15BF">
      <w:pPr>
        <w:spacing w:after="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23D29" w:rsidRDefault="00FC15BF">
      <w:pPr>
        <w:ind w:left="-5"/>
      </w:pPr>
      <w:r>
        <w:t xml:space="preserve">Pour la CGT, cet accord autonome et ces 15 mois de négociation pourraient nous permettre </w:t>
      </w:r>
      <w:r>
        <w:t xml:space="preserve">justement par nos revendications et nos mobilisations construites avec les 33 000 salariés de la métallurgie du 33 </w:t>
      </w:r>
      <w:r>
        <w:t xml:space="preserve">d’avoir </w:t>
      </w:r>
      <w:r>
        <w:t xml:space="preserve">un accord qui répondrai aux besoins des salariés de la Gironde en termes </w:t>
      </w:r>
      <w:r>
        <w:t>de pouvoir d’achat,</w:t>
      </w:r>
      <w:r>
        <w:t xml:space="preserve"> de transport, de santé et de conditions </w:t>
      </w:r>
      <w:r>
        <w:t xml:space="preserve">de travail ! </w:t>
      </w:r>
    </w:p>
    <w:p w:rsidR="00523D29" w:rsidRDefault="00FC15B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23D29" w:rsidRDefault="00FC15BF">
      <w:pPr>
        <w:spacing w:after="3" w:line="259" w:lineRule="auto"/>
        <w:ind w:left="-5"/>
        <w:jc w:val="left"/>
      </w:pPr>
      <w:r>
        <w:rPr>
          <w:b/>
        </w:rPr>
        <w:t xml:space="preserve">La décision du tribunal sera </w:t>
      </w:r>
      <w:proofErr w:type="gramStart"/>
      <w:r>
        <w:rPr>
          <w:b/>
        </w:rPr>
        <w:t>rendu</w:t>
      </w:r>
      <w:proofErr w:type="gramEnd"/>
      <w:r>
        <w:rPr>
          <w:b/>
        </w:rPr>
        <w:t xml:space="preserve"> le 5 juillet 2022. </w:t>
      </w:r>
    </w:p>
    <w:p w:rsidR="00523D29" w:rsidRDefault="00FC15B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23D29" w:rsidRDefault="00FC15BF">
      <w:pPr>
        <w:spacing w:after="3" w:line="259" w:lineRule="auto"/>
        <w:ind w:left="-5"/>
        <w:jc w:val="left"/>
      </w:pPr>
      <w:r>
        <w:rPr>
          <w:b/>
        </w:rPr>
        <w:t xml:space="preserve">La délégation </w:t>
      </w:r>
    </w:p>
    <w:sectPr w:rsidR="00523D29">
      <w:pgSz w:w="11908" w:h="17336"/>
      <w:pgMar w:top="1440" w:right="841" w:bottom="1440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251B8"/>
    <w:multiLevelType w:val="hybridMultilevel"/>
    <w:tmpl w:val="85F8EE34"/>
    <w:lvl w:ilvl="0" w:tplc="04F44D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28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2F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E1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3838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CD9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A7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30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61B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9"/>
    <w:rsid w:val="00523D29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4726-1177-443E-BC5F-F42B9518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metaux2</dc:creator>
  <cp:keywords/>
  <cp:lastModifiedBy>CGT</cp:lastModifiedBy>
  <cp:revision>2</cp:revision>
  <dcterms:created xsi:type="dcterms:W3CDTF">2022-06-28T08:02:00Z</dcterms:created>
  <dcterms:modified xsi:type="dcterms:W3CDTF">2022-06-28T08:02:00Z</dcterms:modified>
</cp:coreProperties>
</file>