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62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tblGrid>
      <w:tr w:rsidR="00BE2E6F" w14:paraId="3E92003F" w14:textId="77777777" w:rsidTr="00343A51">
        <w:tblPrEx>
          <w:tblCellMar>
            <w:top w:w="0" w:type="dxa"/>
            <w:bottom w:w="0" w:type="dxa"/>
          </w:tblCellMar>
        </w:tblPrEx>
        <w:trPr>
          <w:trHeight w:val="2116"/>
        </w:trPr>
        <w:tc>
          <w:tcPr>
            <w:tcW w:w="2000" w:type="dxa"/>
            <w:shd w:val="clear" w:color="auto" w:fill="FF0000"/>
          </w:tcPr>
          <w:p w14:paraId="216EC8E1" w14:textId="77777777" w:rsidR="00BE2E6F" w:rsidRDefault="00BE2E6F" w:rsidP="00343A51">
            <w:pPr>
              <w:pStyle w:val="Titre"/>
              <w:ind w:left="-142"/>
              <w:jc w:val="left"/>
              <w:rPr>
                <w:rFonts w:ascii="Arial" w:hAnsi="Arial" w:cs="Arial"/>
                <w:b/>
                <w:bCs/>
                <w:color w:val="FFFF00"/>
                <w:sz w:val="96"/>
              </w:rPr>
            </w:pPr>
            <w:proofErr w:type="gramStart"/>
            <w:r>
              <w:rPr>
                <w:rFonts w:ascii="Vladimir Script" w:hAnsi="Vladimir Script" w:cs="Arial"/>
                <w:b/>
                <w:bCs/>
                <w:color w:val="FFFF00"/>
                <w:sz w:val="96"/>
              </w:rPr>
              <w:t>la</w:t>
            </w:r>
            <w:proofErr w:type="gramEnd"/>
          </w:p>
          <w:tbl>
            <w:tblPr>
              <w:tblW w:w="1615"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5"/>
            </w:tblGrid>
            <w:tr w:rsidR="00BE2E6F" w14:paraId="21292EA3" w14:textId="77777777" w:rsidTr="00343A51">
              <w:tblPrEx>
                <w:tblCellMar>
                  <w:top w:w="0" w:type="dxa"/>
                  <w:bottom w:w="0" w:type="dxa"/>
                </w:tblCellMar>
              </w:tblPrEx>
              <w:trPr>
                <w:trHeight w:val="977"/>
              </w:trPr>
              <w:tc>
                <w:tcPr>
                  <w:tcW w:w="1615" w:type="dxa"/>
                  <w:tcBorders>
                    <w:top w:val="nil"/>
                    <w:left w:val="nil"/>
                    <w:bottom w:val="nil"/>
                    <w:right w:val="nil"/>
                  </w:tcBorders>
                </w:tcPr>
                <w:p w14:paraId="321D17DC" w14:textId="77777777" w:rsidR="00BE2E6F" w:rsidRDefault="00BE2E6F" w:rsidP="00343A51">
                  <w:pPr>
                    <w:pStyle w:val="Titre"/>
                    <w:framePr w:hSpace="141" w:wrap="around" w:vAnchor="text" w:hAnchor="page" w:x="627" w:y="1"/>
                    <w:suppressOverlap/>
                    <w:jc w:val="left"/>
                    <w:rPr>
                      <w:rFonts w:ascii="Arial" w:hAnsi="Arial" w:cs="Arial"/>
                      <w:b/>
                      <w:bCs/>
                      <w:color w:val="FFFFFF"/>
                      <w:sz w:val="96"/>
                    </w:rPr>
                  </w:pPr>
                  <w:proofErr w:type="spellStart"/>
                  <w:proofErr w:type="gramStart"/>
                  <w:r>
                    <w:rPr>
                      <w:rFonts w:ascii="Arial" w:hAnsi="Arial" w:cs="Arial"/>
                      <w:b/>
                      <w:bCs/>
                      <w:color w:val="FFFFFF"/>
                      <w:sz w:val="96"/>
                    </w:rPr>
                    <w:t>cgt</w:t>
                  </w:r>
                  <w:proofErr w:type="spellEnd"/>
                  <w:proofErr w:type="gramEnd"/>
                </w:p>
              </w:tc>
            </w:tr>
          </w:tbl>
          <w:p w14:paraId="43EEE347" w14:textId="77777777" w:rsidR="00BE2E6F" w:rsidRPr="00E67245" w:rsidRDefault="00BE2E6F" w:rsidP="00343A51">
            <w:pPr>
              <w:jc w:val="right"/>
              <w:rPr>
                <w:color w:val="FFFFFF"/>
              </w:rPr>
            </w:pPr>
            <w:r w:rsidRPr="00E67245">
              <w:rPr>
                <w:color w:val="FFFFFF"/>
              </w:rPr>
              <w:t>Dassault Martignas</w:t>
            </w:r>
          </w:p>
        </w:tc>
      </w:tr>
    </w:tbl>
    <w:p w14:paraId="1342378F" w14:textId="77777777" w:rsidR="002136B6" w:rsidRDefault="002136B6"/>
    <w:p w14:paraId="3A636C65" w14:textId="77777777" w:rsidR="002136B6" w:rsidRDefault="002136B6"/>
    <w:p w14:paraId="0220487B" w14:textId="77777777" w:rsidR="00BE2E6F" w:rsidRPr="00BE2E6F" w:rsidRDefault="002136B6" w:rsidP="00BE2E6F">
      <w:pPr>
        <w:jc w:val="center"/>
        <w:rPr>
          <w:b/>
          <w:sz w:val="36"/>
          <w:szCs w:val="36"/>
        </w:rPr>
      </w:pPr>
      <w:r w:rsidRPr="00BE2E6F">
        <w:rPr>
          <w:b/>
          <w:sz w:val="36"/>
          <w:szCs w:val="36"/>
        </w:rPr>
        <w:t xml:space="preserve">Non à la remise en cause </w:t>
      </w:r>
    </w:p>
    <w:p w14:paraId="352489A8" w14:textId="2B895720" w:rsidR="00643570" w:rsidRPr="00BE2E6F" w:rsidRDefault="002136B6" w:rsidP="00BE2E6F">
      <w:pPr>
        <w:jc w:val="center"/>
        <w:rPr>
          <w:b/>
          <w:sz w:val="36"/>
          <w:szCs w:val="36"/>
        </w:rPr>
      </w:pPr>
      <w:proofErr w:type="gramStart"/>
      <w:r w:rsidRPr="00BE2E6F">
        <w:rPr>
          <w:b/>
          <w:sz w:val="36"/>
          <w:szCs w:val="36"/>
        </w:rPr>
        <w:t>de</w:t>
      </w:r>
      <w:proofErr w:type="gramEnd"/>
      <w:r w:rsidRPr="00BE2E6F">
        <w:rPr>
          <w:b/>
          <w:sz w:val="36"/>
          <w:szCs w:val="36"/>
        </w:rPr>
        <w:t xml:space="preserve"> la convention collective métall</w:t>
      </w:r>
      <w:bookmarkStart w:id="0" w:name="_GoBack"/>
      <w:bookmarkEnd w:id="0"/>
      <w:r w:rsidRPr="00BE2E6F">
        <w:rPr>
          <w:b/>
          <w:sz w:val="36"/>
          <w:szCs w:val="36"/>
        </w:rPr>
        <w:t>urgie !</w:t>
      </w:r>
    </w:p>
    <w:p w14:paraId="078CB228" w14:textId="77777777" w:rsidR="00BE2E6F" w:rsidRDefault="00BE2E6F" w:rsidP="00BE2E6F">
      <w:pPr>
        <w:spacing w:after="0"/>
      </w:pPr>
    </w:p>
    <w:p w14:paraId="023E83C5" w14:textId="77777777" w:rsidR="00BE2E6F" w:rsidRDefault="00BE2E6F" w:rsidP="00BE2E6F">
      <w:pPr>
        <w:spacing w:after="0"/>
      </w:pPr>
    </w:p>
    <w:p w14:paraId="64D15A7F" w14:textId="77777777" w:rsidR="002A0335" w:rsidRDefault="00AE1C93">
      <w:r>
        <w:t xml:space="preserve">Aujourd’hui, chez Dassault </w:t>
      </w:r>
      <w:r w:rsidR="002A0335">
        <w:t>nos droits et conditions de travail sont</w:t>
      </w:r>
      <w:r>
        <w:t xml:space="preserve"> régis par</w:t>
      </w:r>
      <w:r w:rsidR="002A0335">
        <w:t> :</w:t>
      </w:r>
    </w:p>
    <w:p w14:paraId="55C1AF9F" w14:textId="2CA46D8E" w:rsidR="00F8733F" w:rsidRDefault="002A0335">
      <w:r>
        <w:t>-</w:t>
      </w:r>
      <w:r w:rsidR="00AE1C93">
        <w:t xml:space="preserve">le </w:t>
      </w:r>
      <w:r w:rsidR="00AE1C93" w:rsidRPr="002A0335">
        <w:rPr>
          <w:u w:val="single"/>
        </w:rPr>
        <w:t>code du t</w:t>
      </w:r>
      <w:r w:rsidR="00F8733F" w:rsidRPr="002A0335">
        <w:rPr>
          <w:u w:val="single"/>
        </w:rPr>
        <w:t>ravail</w:t>
      </w:r>
      <w:r w:rsidR="00F8733F">
        <w:t xml:space="preserve"> qui </w:t>
      </w:r>
      <w:r>
        <w:t>s’applique</w:t>
      </w:r>
      <w:r w:rsidR="00F8733F">
        <w:t xml:space="preserve"> à tous les salariés. </w:t>
      </w:r>
    </w:p>
    <w:p w14:paraId="027B4C72" w14:textId="6CDC6FD8" w:rsidR="00F8733F" w:rsidRDefault="002A0335">
      <w:r>
        <w:t>-</w:t>
      </w:r>
      <w:r w:rsidR="00F8733F">
        <w:t>L</w:t>
      </w:r>
      <w:r w:rsidR="00AE1C93">
        <w:t xml:space="preserve">a </w:t>
      </w:r>
      <w:r w:rsidR="00AE1C93" w:rsidRPr="002A0335">
        <w:rPr>
          <w:u w:val="single"/>
        </w:rPr>
        <w:t>convention collective</w:t>
      </w:r>
      <w:r w:rsidR="00AE1C93">
        <w:t xml:space="preserve"> de la métallurgie de la région parisie</w:t>
      </w:r>
      <w:r w:rsidR="00F8733F">
        <w:t>nne qui s’appliquent aux salaries qui dépendent de cette convention. Elle détermine la grille de nos coefficients par exemple.</w:t>
      </w:r>
    </w:p>
    <w:p w14:paraId="4F30512F" w14:textId="75DFBAA6" w:rsidR="003644CA" w:rsidRDefault="002A0335">
      <w:r>
        <w:t>-</w:t>
      </w:r>
      <w:r w:rsidR="00F8733F">
        <w:t xml:space="preserve">Nos salaires et conditions de travail dépendent aussi des </w:t>
      </w:r>
      <w:r w:rsidR="00F8733F" w:rsidRPr="002A0335">
        <w:rPr>
          <w:u w:val="single"/>
        </w:rPr>
        <w:t>accords d’entreprise</w:t>
      </w:r>
      <w:r>
        <w:t>.</w:t>
      </w:r>
      <w:r w:rsidR="00F8733F">
        <w:t xml:space="preserve">  </w:t>
      </w:r>
      <w:r>
        <w:t>L</w:t>
      </w:r>
      <w:r w:rsidR="00F8733F">
        <w:t>es accords par exemple</w:t>
      </w:r>
      <w:r w:rsidR="00974EF5">
        <w:t xml:space="preserve"> qui concernent les RTT liées au 35h</w:t>
      </w:r>
      <w:r w:rsidR="00F8733F">
        <w:t xml:space="preserve">, le nombre de ces jours, la possibilité de prendre une </w:t>
      </w:r>
      <w:proofErr w:type="spellStart"/>
      <w:r w:rsidR="00F8733F">
        <w:t>apt</w:t>
      </w:r>
      <w:r w:rsidR="00BE2E6F">
        <w:t>t</w:t>
      </w:r>
      <w:proofErr w:type="spellEnd"/>
      <w:r w:rsidR="00BE2E6F">
        <w:t>.</w:t>
      </w:r>
    </w:p>
    <w:p w14:paraId="0BA75285" w14:textId="2E02CF32" w:rsidR="00D8357A" w:rsidRDefault="00F8733F">
      <w:r>
        <w:t xml:space="preserve">Il faut bien avoir en tête que cette </w:t>
      </w:r>
      <w:r w:rsidR="00D8357A">
        <w:t>hiérarchie</w:t>
      </w:r>
      <w:r>
        <w:t xml:space="preserve"> dans le droit du travail </w:t>
      </w:r>
      <w:r w:rsidR="002A0335">
        <w:t>qui va du droit général vers le</w:t>
      </w:r>
      <w:r w:rsidR="00D8357A">
        <w:t xml:space="preserve"> particulier n’existe plus depuis 2016 et les lois dites « El </w:t>
      </w:r>
      <w:proofErr w:type="spellStart"/>
      <w:r w:rsidR="00D8357A">
        <w:t>Khomery</w:t>
      </w:r>
      <w:proofErr w:type="spellEnd"/>
      <w:r w:rsidR="00D8357A">
        <w:t xml:space="preserve"> ».  Lois déjà piloté à l’époque par Macron et le gouvernement Hollande. </w:t>
      </w:r>
    </w:p>
    <w:p w14:paraId="2D1565A6" w14:textId="3CD38C6D" w:rsidR="00D8357A" w:rsidRDefault="00AE1C93">
      <w:r>
        <w:t xml:space="preserve">Depuis 2016 </w:t>
      </w:r>
      <w:r w:rsidR="00D8357A">
        <w:t xml:space="preserve">également, </w:t>
      </w:r>
      <w:r w:rsidR="00CF637B">
        <w:t xml:space="preserve">une négociation </w:t>
      </w:r>
      <w:r w:rsidR="00D8357A">
        <w:t xml:space="preserve">à lieu </w:t>
      </w:r>
      <w:r w:rsidR="00CF637B">
        <w:t xml:space="preserve">entre l’UIMM (Union des Industries et Métiers de la Métallurgie) dont notre PDG vient </w:t>
      </w:r>
      <w:r w:rsidR="00D8357A">
        <w:t xml:space="preserve">d’être </w:t>
      </w:r>
      <w:proofErr w:type="gramStart"/>
      <w:r w:rsidR="00D8357A">
        <w:t>nommé</w:t>
      </w:r>
      <w:proofErr w:type="gramEnd"/>
      <w:r w:rsidR="00D8357A">
        <w:t xml:space="preserve"> Président</w:t>
      </w:r>
      <w:r w:rsidR="002A0335">
        <w:t>,</w:t>
      </w:r>
      <w:r w:rsidR="00CF637B">
        <w:t xml:space="preserve"> et les Organisations</w:t>
      </w:r>
      <w:r w:rsidR="00D8357A">
        <w:t xml:space="preserve"> Syndicales représentatives.</w:t>
      </w:r>
    </w:p>
    <w:p w14:paraId="28E96706" w14:textId="228D5828" w:rsidR="00AE1C93" w:rsidRDefault="00D8357A">
      <w:r>
        <w:t xml:space="preserve">Le </w:t>
      </w:r>
      <w:r w:rsidR="00D1653A">
        <w:t>patronat veut en sortir avec</w:t>
      </w:r>
      <w:r>
        <w:t xml:space="preserve"> </w:t>
      </w:r>
      <w:r w:rsidR="00CF637B">
        <w:t>une unique CCN (Convention Collective Nationale) de la métallurgie.</w:t>
      </w:r>
      <w:r w:rsidR="00D1653A">
        <w:t xml:space="preserve"> Celle-ci se traduirait évidemment par une nouvelle baisse de nos droits, de nos conditions de </w:t>
      </w:r>
      <w:r w:rsidR="002A0335">
        <w:t>travail et de nos salaires. Cette négociation</w:t>
      </w:r>
      <w:r w:rsidR="00D1653A">
        <w:t xml:space="preserve"> est censée se terminer en fin d’année pour entrer en vigueur le premier janvier 2024.</w:t>
      </w:r>
    </w:p>
    <w:p w14:paraId="237BAE48" w14:textId="77777777" w:rsidR="002A0335" w:rsidRDefault="00CF637B">
      <w:r>
        <w:t>Dans cette négociation, plusieurs thèmes sont abordés</w:t>
      </w:r>
      <w:r w:rsidR="000B32FD">
        <w:t> :</w:t>
      </w:r>
    </w:p>
    <w:p w14:paraId="1D22233B" w14:textId="79558E63" w:rsidR="00CF637B" w:rsidRDefault="000B32FD">
      <w:r>
        <w:t xml:space="preserve"> </w:t>
      </w:r>
      <w:r w:rsidR="002A0335">
        <w:t>Notamment les</w:t>
      </w:r>
      <w:r>
        <w:t xml:space="preserve"> classifications, temps </w:t>
      </w:r>
      <w:r w:rsidR="003A69B9">
        <w:t xml:space="preserve">de </w:t>
      </w:r>
      <w:r>
        <w:t xml:space="preserve">travail, santé conditions et </w:t>
      </w:r>
      <w:r w:rsidR="003A69B9">
        <w:t>qualités</w:t>
      </w:r>
      <w:r>
        <w:t xml:space="preserve"> de vie au travail, droits individuels, emploi et formation, </w:t>
      </w:r>
      <w:r w:rsidR="003A69B9">
        <w:t>protection sociale, rémunération, dialogue social en entreprise et dispositions transitoires.</w:t>
      </w:r>
    </w:p>
    <w:p w14:paraId="41AE3DF0" w14:textId="3FCC1BF8" w:rsidR="003A69B9" w:rsidRDefault="003A69B9">
      <w:r>
        <w:t>A ce jour 5</w:t>
      </w:r>
      <w:r w:rsidR="002A0335">
        <w:t xml:space="preserve"> </w:t>
      </w:r>
      <w:r w:rsidR="00991A1C">
        <w:t xml:space="preserve">de ces </w:t>
      </w:r>
      <w:r w:rsidR="002A0335">
        <w:t xml:space="preserve">thèmes ont été mis en réserve, </w:t>
      </w:r>
      <w:r>
        <w:t>c’est-à-dire que les négo</w:t>
      </w:r>
      <w:r w:rsidR="00991A1C">
        <w:t>ciations les concernant sont terminées. Ces thèmes sont :</w:t>
      </w:r>
      <w:r>
        <w:t xml:space="preserve"> classifications, temps de travail, santé conditions et qualités de vie au travail, droits individuels</w:t>
      </w:r>
      <w:r w:rsidR="00EC483C">
        <w:t>.</w:t>
      </w:r>
    </w:p>
    <w:p w14:paraId="548B002B" w14:textId="6BB165B5" w:rsidR="00EC483C" w:rsidRDefault="00991A1C">
      <w:r>
        <w:t>Un</w:t>
      </w:r>
      <w:r w:rsidR="004619E9">
        <w:t xml:space="preserve"> thème est d’ores et déjà signé et appliqué : emploi et formation</w:t>
      </w:r>
    </w:p>
    <w:p w14:paraId="7392659B" w14:textId="16D64365" w:rsidR="004619E9" w:rsidRDefault="00991A1C">
      <w:r>
        <w:t>Trois</w:t>
      </w:r>
      <w:r w:rsidR="004619E9">
        <w:t xml:space="preserve"> derniers thèmes sont</w:t>
      </w:r>
      <w:r>
        <w:t xml:space="preserve"> encore</w:t>
      </w:r>
      <w:r w:rsidR="004619E9">
        <w:t xml:space="preserve"> en cours de négociation : rémunération, dialogue social en entreprise et dispositions transitoires.</w:t>
      </w:r>
    </w:p>
    <w:p w14:paraId="5250F267" w14:textId="08C0EA3A" w:rsidR="004619E9" w:rsidRDefault="00991A1C">
      <w:r>
        <w:t>Prenons l’exemple</w:t>
      </w:r>
      <w:r w:rsidR="004619E9">
        <w:t xml:space="preserve"> de la rémunération.</w:t>
      </w:r>
    </w:p>
    <w:p w14:paraId="06704671" w14:textId="2A3C1357" w:rsidR="004619E9" w:rsidRDefault="004619E9">
      <w:r>
        <w:t xml:space="preserve">Dorénavant </w:t>
      </w:r>
      <w:r w:rsidR="00135990">
        <w:t xml:space="preserve">la rémunération sera </w:t>
      </w:r>
      <w:r w:rsidR="00991A1C">
        <w:t>compatible avec le poste occupé. C</w:t>
      </w:r>
      <w:r w:rsidR="00135990">
        <w:t xml:space="preserve">ela mets fin à la reconnaissance de l’expérience </w:t>
      </w:r>
      <w:r w:rsidR="00974EF5">
        <w:t xml:space="preserve">individuelle acquise et à la </w:t>
      </w:r>
      <w:r w:rsidR="00135990">
        <w:t>reconnaissance du diplôme puisque le salaire sera</w:t>
      </w:r>
      <w:r w:rsidR="00991A1C">
        <w:t xml:space="preserve"> déterminé</w:t>
      </w:r>
      <w:r w:rsidR="00135990">
        <w:t xml:space="preserve"> en fonction uniquement du poste occupé.</w:t>
      </w:r>
    </w:p>
    <w:p w14:paraId="7C8F8DAC" w14:textId="2A13F953" w:rsidR="00991A1C" w:rsidRDefault="00135990">
      <w:r>
        <w:t>Du coup Dassault est en train de coter tous les postes de la société afin d’être prêt le jour J.</w:t>
      </w:r>
    </w:p>
    <w:p w14:paraId="37FEC928" w14:textId="7D4DB9DF" w:rsidR="00F62048" w:rsidRDefault="00BE2E6F">
      <w:r>
        <w:lastRenderedPageBreak/>
        <w:t>Exemple</w:t>
      </w:r>
      <w:r w:rsidR="003610F1">
        <w:t xml:space="preserve"> d’une évolution chez Dassault aujourd’hui</w:t>
      </w:r>
      <w:r w:rsidR="00991A1C">
        <w:t> :</w:t>
      </w:r>
      <w:r w:rsidR="003610F1">
        <w:rPr>
          <w:noProof/>
          <w:lang w:eastAsia="fr-FR"/>
        </w:rPr>
        <w:drawing>
          <wp:inline distT="0" distB="0" distL="0" distR="0" wp14:anchorId="48536F0C" wp14:editId="43D7F0CE">
            <wp:extent cx="6172200" cy="2895600"/>
            <wp:effectExtent l="0" t="0" r="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4477D13B" w14:textId="77777777" w:rsidR="003610F1" w:rsidRDefault="003610F1">
      <w:r>
        <w:t>Exemple d’une évolution chez Dassault demain avec la nouvelle CCN</w:t>
      </w:r>
    </w:p>
    <w:p w14:paraId="43A2AC22" w14:textId="77777777" w:rsidR="00F62048" w:rsidRDefault="003610F1">
      <w:r>
        <w:rPr>
          <w:noProof/>
          <w:lang w:eastAsia="fr-FR"/>
        </w:rPr>
        <w:drawing>
          <wp:inline distT="0" distB="0" distL="0" distR="0" wp14:anchorId="4E3DF9AF" wp14:editId="3AA0892A">
            <wp:extent cx="6134100" cy="2800350"/>
            <wp:effectExtent l="0" t="0" r="0" b="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52B27D2D" w14:textId="3927AE8F" w:rsidR="003610F1" w:rsidRPr="00991A1C" w:rsidRDefault="00F62048" w:rsidP="00F62048">
      <w:pPr>
        <w:rPr>
          <w:u w:val="single"/>
        </w:rPr>
      </w:pPr>
      <w:r w:rsidRPr="00991A1C">
        <w:rPr>
          <w:u w:val="single"/>
        </w:rPr>
        <w:t>Donc</w:t>
      </w:r>
      <w:r w:rsidR="00991A1C" w:rsidRPr="00991A1C">
        <w:rPr>
          <w:u w:val="single"/>
        </w:rPr>
        <w:t xml:space="preserve"> au pire</w:t>
      </w:r>
      <w:r w:rsidRPr="00991A1C">
        <w:rPr>
          <w:u w:val="single"/>
        </w:rPr>
        <w:t xml:space="preserve"> un salarié embauché avec un </w:t>
      </w:r>
      <w:proofErr w:type="spellStart"/>
      <w:r w:rsidRPr="00991A1C">
        <w:rPr>
          <w:u w:val="single"/>
        </w:rPr>
        <w:t>coef</w:t>
      </w:r>
      <w:proofErr w:type="spellEnd"/>
      <w:r w:rsidRPr="00991A1C">
        <w:rPr>
          <w:u w:val="single"/>
        </w:rPr>
        <w:t xml:space="preserve"> 170 avec un salaire 1752€ pourrait évoluer rapidement au </w:t>
      </w:r>
      <w:proofErr w:type="spellStart"/>
      <w:r w:rsidRPr="00991A1C">
        <w:rPr>
          <w:u w:val="single"/>
        </w:rPr>
        <w:t>coef</w:t>
      </w:r>
      <w:proofErr w:type="spellEnd"/>
      <w:r w:rsidRPr="00991A1C">
        <w:rPr>
          <w:u w:val="single"/>
        </w:rPr>
        <w:t xml:space="preserve"> 285 avec un salaire de 2438€ et chuter quelques années après au </w:t>
      </w:r>
      <w:proofErr w:type="spellStart"/>
      <w:r w:rsidRPr="00991A1C">
        <w:rPr>
          <w:u w:val="single"/>
        </w:rPr>
        <w:t>coef</w:t>
      </w:r>
      <w:proofErr w:type="spellEnd"/>
      <w:r w:rsidRPr="00991A1C">
        <w:rPr>
          <w:u w:val="single"/>
        </w:rPr>
        <w:t xml:space="preserve"> 180 avec un salaire à 1804€.</w:t>
      </w:r>
    </w:p>
    <w:p w14:paraId="2479059C" w14:textId="2B13F05D" w:rsidR="00AF107E" w:rsidRDefault="00991A1C" w:rsidP="00F62048">
      <w:r>
        <w:t>Les cadres sont également concernés par ce paiement au poste.</w:t>
      </w:r>
    </w:p>
    <w:p w14:paraId="51D8F87A" w14:textId="36F8E565" w:rsidR="00677008" w:rsidRDefault="00677008" w:rsidP="00F62048">
      <w:r>
        <w:t>La CGT propose une grille de salaire unique avec un véritable déroulement de carrière de l’ouvrier au cadre quelle que soit la catégorie (ouvrier, employé ICT) ainsi qu’un doublement du salaire et du coefficient sur la carrière.</w:t>
      </w:r>
    </w:p>
    <w:p w14:paraId="129E3D81" w14:textId="77777777" w:rsidR="00892127" w:rsidRDefault="00892127" w:rsidP="00F62048">
      <w:r>
        <w:t>Il ne faut pas croire parce qu’on travaille chez Dassault que nous ne serons pas impactés par cette nouvelle CCN. D’autant plus que notre PDG est le Président de l’UIMM, donc il devra suivre les directives de cette dernière.</w:t>
      </w:r>
    </w:p>
    <w:p w14:paraId="2C72B9EC" w14:textId="1E7DA5F4" w:rsidR="00BE2E6F" w:rsidRDefault="00677008" w:rsidP="00F62048">
      <w:r>
        <w:t>Nous continuerons à vous tenir informer des suites des négociations.</w:t>
      </w:r>
    </w:p>
    <w:p w14:paraId="555443BA" w14:textId="372E101C" w:rsidR="00677008" w:rsidRPr="00BE2E6F" w:rsidRDefault="00BE2E6F" w:rsidP="00BE2E6F">
      <w:pPr>
        <w:jc w:val="right"/>
      </w:pPr>
      <w:r>
        <w:t>Martignas, le 07 juin 2021</w:t>
      </w:r>
    </w:p>
    <w:sectPr w:rsidR="00677008" w:rsidRPr="00BE2E6F" w:rsidSect="00BE2E6F">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5E"/>
    <w:rsid w:val="000006E9"/>
    <w:rsid w:val="0003181F"/>
    <w:rsid w:val="000B2BB6"/>
    <w:rsid w:val="000B32FD"/>
    <w:rsid w:val="00135990"/>
    <w:rsid w:val="00167F08"/>
    <w:rsid w:val="00186F60"/>
    <w:rsid w:val="001A5BAE"/>
    <w:rsid w:val="001F1C25"/>
    <w:rsid w:val="002136B6"/>
    <w:rsid w:val="0027353D"/>
    <w:rsid w:val="002A0335"/>
    <w:rsid w:val="003610F1"/>
    <w:rsid w:val="003644CA"/>
    <w:rsid w:val="003A69B9"/>
    <w:rsid w:val="004619E9"/>
    <w:rsid w:val="00480E4B"/>
    <w:rsid w:val="004B33DE"/>
    <w:rsid w:val="004E7379"/>
    <w:rsid w:val="00560F5E"/>
    <w:rsid w:val="005D5556"/>
    <w:rsid w:val="005D7A29"/>
    <w:rsid w:val="00643570"/>
    <w:rsid w:val="00677008"/>
    <w:rsid w:val="007315A9"/>
    <w:rsid w:val="007608C6"/>
    <w:rsid w:val="007F06F9"/>
    <w:rsid w:val="00892127"/>
    <w:rsid w:val="008F2744"/>
    <w:rsid w:val="00974EF5"/>
    <w:rsid w:val="00991A1C"/>
    <w:rsid w:val="00A33993"/>
    <w:rsid w:val="00AE1C93"/>
    <w:rsid w:val="00AF107E"/>
    <w:rsid w:val="00BE2E6F"/>
    <w:rsid w:val="00CF637B"/>
    <w:rsid w:val="00D1653A"/>
    <w:rsid w:val="00D8357A"/>
    <w:rsid w:val="00D9718C"/>
    <w:rsid w:val="00DB15B9"/>
    <w:rsid w:val="00DB5624"/>
    <w:rsid w:val="00EC483C"/>
    <w:rsid w:val="00F62048"/>
    <w:rsid w:val="00F873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4775C"/>
  <w15:docId w15:val="{33C266DE-6622-4420-8C11-0D00A739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610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10F1"/>
    <w:rPr>
      <w:rFonts w:ascii="Tahoma" w:hAnsi="Tahoma" w:cs="Tahoma"/>
      <w:sz w:val="16"/>
      <w:szCs w:val="16"/>
    </w:rPr>
  </w:style>
  <w:style w:type="paragraph" w:styleId="Titre">
    <w:name w:val="Title"/>
    <w:basedOn w:val="Normal"/>
    <w:link w:val="TitreCar"/>
    <w:qFormat/>
    <w:rsid w:val="00BE2E6F"/>
    <w:pPr>
      <w:spacing w:after="0" w:line="240" w:lineRule="auto"/>
      <w:jc w:val="center"/>
    </w:pPr>
    <w:rPr>
      <w:rFonts w:ascii="Times New Roman" w:eastAsia="Times New Roman" w:hAnsi="Times New Roman" w:cs="Times New Roman"/>
      <w:sz w:val="52"/>
      <w:szCs w:val="24"/>
      <w:lang w:eastAsia="fr-FR"/>
    </w:rPr>
  </w:style>
  <w:style w:type="character" w:customStyle="1" w:styleId="TitreCar">
    <w:name w:val="Titre Car"/>
    <w:basedOn w:val="Policepardfaut"/>
    <w:link w:val="Titre"/>
    <w:rsid w:val="00BE2E6F"/>
    <w:rPr>
      <w:rFonts w:ascii="Times New Roman" w:eastAsia="Times New Roman" w:hAnsi="Times New Roman" w:cs="Times New Roman"/>
      <w:sz w:val="52"/>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de_calcul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de_calcul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4067998342312499"/>
          <c:y val="7.1686294046284696E-2"/>
          <c:w val="0.81260417184694"/>
          <c:h val="0.80422604467938896"/>
        </c:manualLayout>
      </c:layout>
      <c:scatterChart>
        <c:scatterStyle val="lineMarker"/>
        <c:varyColors val="0"/>
        <c:ser>
          <c:idx val="1"/>
          <c:order val="0"/>
          <c:tx>
            <c:strRef>
              <c:f>Feuil1!$P$2</c:f>
              <c:strCache>
                <c:ptCount val="1"/>
                <c:pt idx="0">
                  <c:v>actuel</c:v>
                </c:pt>
              </c:strCache>
            </c:strRef>
          </c:tx>
          <c:xVal>
            <c:numRef>
              <c:f>Feuil1!$P$3:$P$23</c:f>
              <c:numCache>
                <c:formatCode>General</c:formatCode>
                <c:ptCount val="21"/>
                <c:pt idx="0">
                  <c:v>1997</c:v>
                </c:pt>
                <c:pt idx="1">
                  <c:v>1998</c:v>
                </c:pt>
                <c:pt idx="2">
                  <c:v>1998</c:v>
                </c:pt>
                <c:pt idx="3">
                  <c:v>1999</c:v>
                </c:pt>
                <c:pt idx="4">
                  <c:v>1999</c:v>
                </c:pt>
                <c:pt idx="5">
                  <c:v>2000</c:v>
                </c:pt>
                <c:pt idx="6">
                  <c:v>2000</c:v>
                </c:pt>
                <c:pt idx="7">
                  <c:v>2002</c:v>
                </c:pt>
                <c:pt idx="8">
                  <c:v>2002</c:v>
                </c:pt>
                <c:pt idx="9">
                  <c:v>2004</c:v>
                </c:pt>
                <c:pt idx="10">
                  <c:v>2004</c:v>
                </c:pt>
                <c:pt idx="11">
                  <c:v>2008</c:v>
                </c:pt>
                <c:pt idx="12">
                  <c:v>2008</c:v>
                </c:pt>
                <c:pt idx="13">
                  <c:v>2012</c:v>
                </c:pt>
                <c:pt idx="14">
                  <c:v>2012</c:v>
                </c:pt>
                <c:pt idx="15">
                  <c:v>2018</c:v>
                </c:pt>
                <c:pt idx="16">
                  <c:v>2018</c:v>
                </c:pt>
                <c:pt idx="17">
                  <c:v>2023</c:v>
                </c:pt>
                <c:pt idx="18">
                  <c:v>2023</c:v>
                </c:pt>
                <c:pt idx="19">
                  <c:v>2033</c:v>
                </c:pt>
                <c:pt idx="20">
                  <c:v>2033</c:v>
                </c:pt>
              </c:numCache>
            </c:numRef>
          </c:xVal>
          <c:yVal>
            <c:numRef>
              <c:f>Feuil1!$Q$3:$Q$23</c:f>
              <c:numCache>
                <c:formatCode>General</c:formatCode>
                <c:ptCount val="21"/>
                <c:pt idx="0">
                  <c:v>170</c:v>
                </c:pt>
                <c:pt idx="1">
                  <c:v>170</c:v>
                </c:pt>
                <c:pt idx="2">
                  <c:v>180</c:v>
                </c:pt>
                <c:pt idx="3">
                  <c:v>180</c:v>
                </c:pt>
                <c:pt idx="4">
                  <c:v>190</c:v>
                </c:pt>
                <c:pt idx="5">
                  <c:v>190</c:v>
                </c:pt>
                <c:pt idx="6">
                  <c:v>205</c:v>
                </c:pt>
                <c:pt idx="7">
                  <c:v>205</c:v>
                </c:pt>
                <c:pt idx="8">
                  <c:v>215</c:v>
                </c:pt>
                <c:pt idx="9">
                  <c:v>215</c:v>
                </c:pt>
                <c:pt idx="10">
                  <c:v>225</c:v>
                </c:pt>
                <c:pt idx="11">
                  <c:v>225</c:v>
                </c:pt>
                <c:pt idx="12">
                  <c:v>240</c:v>
                </c:pt>
                <c:pt idx="13">
                  <c:v>240</c:v>
                </c:pt>
                <c:pt idx="14">
                  <c:v>255</c:v>
                </c:pt>
                <c:pt idx="15">
                  <c:v>255</c:v>
                </c:pt>
                <c:pt idx="16">
                  <c:v>270</c:v>
                </c:pt>
                <c:pt idx="17">
                  <c:v>270</c:v>
                </c:pt>
                <c:pt idx="18">
                  <c:v>285</c:v>
                </c:pt>
                <c:pt idx="19">
                  <c:v>285</c:v>
                </c:pt>
                <c:pt idx="20">
                  <c:v>305</c:v>
                </c:pt>
              </c:numCache>
            </c:numRef>
          </c:yVal>
          <c:smooth val="0"/>
        </c:ser>
        <c:dLbls>
          <c:showLegendKey val="0"/>
          <c:showVal val="0"/>
          <c:showCatName val="0"/>
          <c:showSerName val="0"/>
          <c:showPercent val="0"/>
          <c:showBubbleSize val="0"/>
        </c:dLbls>
        <c:axId val="318977936"/>
        <c:axId val="318978720"/>
      </c:scatterChart>
      <c:valAx>
        <c:axId val="318977936"/>
        <c:scaling>
          <c:orientation val="minMax"/>
          <c:max val="2035"/>
        </c:scaling>
        <c:delete val="0"/>
        <c:axPos val="b"/>
        <c:numFmt formatCode="General" sourceLinked="1"/>
        <c:majorTickMark val="out"/>
        <c:minorTickMark val="none"/>
        <c:tickLblPos val="nextTo"/>
        <c:spPr>
          <a:ln w="12700">
            <a:solidFill>
              <a:srgbClr val="BFBFBF"/>
            </a:solidFill>
            <a:prstDash val="solid"/>
          </a:ln>
        </c:spPr>
        <c:txPr>
          <a:bodyPr rot="0" vert="horz"/>
          <a:lstStyle/>
          <a:p>
            <a:pPr>
              <a:defRPr sz="1050" b="0" i="0" u="none" strike="noStrike" baseline="0">
                <a:solidFill>
                  <a:srgbClr val="000000"/>
                </a:solidFill>
                <a:latin typeface="Calibri"/>
                <a:ea typeface="Calibri"/>
                <a:cs typeface="Calibri"/>
              </a:defRPr>
            </a:pPr>
            <a:endParaRPr lang="fr-FR"/>
          </a:p>
        </c:txPr>
        <c:crossAx val="318978720"/>
        <c:crossesAt val="150"/>
        <c:crossBetween val="midCat"/>
      </c:valAx>
      <c:valAx>
        <c:axId val="318978720"/>
        <c:scaling>
          <c:orientation val="minMax"/>
          <c:max val="325"/>
          <c:min val="160"/>
        </c:scaling>
        <c:delete val="0"/>
        <c:axPos val="l"/>
        <c:majorGridlines>
          <c:spPr>
            <a:ln w="12700">
              <a:solidFill>
                <a:srgbClr val="D9D9D9"/>
              </a:solidFill>
              <a:prstDash val="solid"/>
            </a:ln>
          </c:spPr>
        </c:majorGridlines>
        <c:title>
          <c:tx>
            <c:rich>
              <a:bodyPr/>
              <a:lstStyle/>
              <a:p>
                <a:pPr>
                  <a:defRPr sz="1200" b="0" i="0" u="none" strike="noStrike" baseline="0">
                    <a:solidFill>
                      <a:srgbClr val="000000"/>
                    </a:solidFill>
                    <a:latin typeface="+mn-lt"/>
                    <a:ea typeface="Calibri"/>
                    <a:cs typeface="Calibri"/>
                  </a:defRPr>
                </a:pPr>
                <a:r>
                  <a:rPr lang="fr-FR">
                    <a:latin typeface="+mn-lt"/>
                  </a:rPr>
                  <a:t>Coefficients</a:t>
                </a:r>
              </a:p>
            </c:rich>
          </c:tx>
          <c:layout>
            <c:manualLayout>
              <c:xMode val="edge"/>
              <c:yMode val="edge"/>
              <c:x val="3.0423797025371799E-3"/>
              <c:y val="0.336814477137726"/>
            </c:manualLayout>
          </c:layout>
          <c:overlay val="0"/>
          <c:spPr>
            <a:noFill/>
            <a:ln w="25400">
              <a:noFill/>
            </a:ln>
          </c:spPr>
        </c:title>
        <c:numFmt formatCode="General" sourceLinked="1"/>
        <c:majorTickMark val="none"/>
        <c:minorTickMark val="none"/>
        <c:tickLblPos val="nextTo"/>
        <c:spPr>
          <a:ln w="12700">
            <a:solidFill>
              <a:srgbClr val="BFBFBF"/>
            </a:solidFill>
            <a:prstDash val="solid"/>
          </a:ln>
        </c:spPr>
        <c:txPr>
          <a:bodyPr rot="0" vert="horz"/>
          <a:lstStyle/>
          <a:p>
            <a:pPr>
              <a:defRPr sz="1050" b="0" i="0" u="none" strike="noStrike" baseline="0">
                <a:solidFill>
                  <a:srgbClr val="000000"/>
                </a:solidFill>
                <a:latin typeface="Calibri"/>
                <a:ea typeface="Calibri"/>
                <a:cs typeface="Calibri"/>
              </a:defRPr>
            </a:pPr>
            <a:endParaRPr lang="fr-FR"/>
          </a:p>
        </c:txPr>
        <c:crossAx val="318977936"/>
        <c:crossesAt val="0"/>
        <c:crossBetween val="midCat"/>
      </c:valAx>
      <c:spPr>
        <a:noFill/>
        <a:ln w="25400">
          <a:noFill/>
        </a:ln>
      </c:spPr>
    </c:plotArea>
    <c:plotVisOnly val="1"/>
    <c:dispBlanksAs val="gap"/>
    <c:showDLblsOverMax val="0"/>
  </c:chart>
  <c:spPr>
    <a:solidFill>
      <a:srgbClr val="FFFFFF"/>
    </a:solidFill>
    <a:ln w="12700">
      <a:noFill/>
      <a:prstDash val="solid"/>
    </a:ln>
  </c:spPr>
  <c:txPr>
    <a:bodyPr/>
    <a:lstStyle/>
    <a:p>
      <a:pPr>
        <a:defRPr sz="1000" b="0" i="0" u="none" strike="noStrike" baseline="0">
          <a:solidFill>
            <a:srgbClr val="000000"/>
          </a:solidFill>
          <a:latin typeface="Arial"/>
          <a:ea typeface="Arial"/>
          <a:cs typeface="Arial"/>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évolution avec la nouvelle</a:t>
            </a:r>
            <a:r>
              <a:rPr lang="en-US" baseline="0"/>
              <a:t> CCN</a:t>
            </a:r>
            <a:endParaRPr lang="en-US"/>
          </a:p>
        </c:rich>
      </c:tx>
      <c:overlay val="0"/>
    </c:title>
    <c:autoTitleDeleted val="0"/>
    <c:plotArea>
      <c:layout>
        <c:manualLayout>
          <c:layoutTarget val="inner"/>
          <c:xMode val="edge"/>
          <c:yMode val="edge"/>
          <c:x val="0.14067998342312499"/>
          <c:y val="7.1686294046284696E-2"/>
          <c:w val="0.81260417184694"/>
          <c:h val="0.80422604467938896"/>
        </c:manualLayout>
      </c:layout>
      <c:scatterChart>
        <c:scatterStyle val="lineMarker"/>
        <c:varyColors val="0"/>
        <c:ser>
          <c:idx val="0"/>
          <c:order val="0"/>
          <c:tx>
            <c:strRef>
              <c:f>Feuil1!$R$2</c:f>
              <c:strCache>
                <c:ptCount val="1"/>
                <c:pt idx="0">
                  <c:v>demain</c:v>
                </c:pt>
              </c:strCache>
            </c:strRef>
          </c:tx>
          <c:xVal>
            <c:numRef>
              <c:f>Feuil1!$P$3:$P$23</c:f>
              <c:numCache>
                <c:formatCode>General</c:formatCode>
                <c:ptCount val="21"/>
                <c:pt idx="0">
                  <c:v>1997</c:v>
                </c:pt>
                <c:pt idx="1">
                  <c:v>1998</c:v>
                </c:pt>
                <c:pt idx="2">
                  <c:v>1998</c:v>
                </c:pt>
                <c:pt idx="3">
                  <c:v>1999</c:v>
                </c:pt>
                <c:pt idx="4">
                  <c:v>1999</c:v>
                </c:pt>
                <c:pt idx="5">
                  <c:v>2000</c:v>
                </c:pt>
                <c:pt idx="6">
                  <c:v>2000</c:v>
                </c:pt>
                <c:pt idx="7">
                  <c:v>2002</c:v>
                </c:pt>
                <c:pt idx="8">
                  <c:v>2002</c:v>
                </c:pt>
                <c:pt idx="9">
                  <c:v>2004</c:v>
                </c:pt>
                <c:pt idx="10">
                  <c:v>2004</c:v>
                </c:pt>
                <c:pt idx="11">
                  <c:v>2008</c:v>
                </c:pt>
                <c:pt idx="12">
                  <c:v>2008</c:v>
                </c:pt>
                <c:pt idx="13">
                  <c:v>2012</c:v>
                </c:pt>
                <c:pt idx="14">
                  <c:v>2012</c:v>
                </c:pt>
                <c:pt idx="15">
                  <c:v>2018</c:v>
                </c:pt>
                <c:pt idx="16">
                  <c:v>2018</c:v>
                </c:pt>
                <c:pt idx="17">
                  <c:v>2023</c:v>
                </c:pt>
                <c:pt idx="18">
                  <c:v>2023</c:v>
                </c:pt>
                <c:pt idx="19">
                  <c:v>2033</c:v>
                </c:pt>
                <c:pt idx="20">
                  <c:v>2033</c:v>
                </c:pt>
              </c:numCache>
            </c:numRef>
          </c:xVal>
          <c:yVal>
            <c:numRef>
              <c:f>Feuil1!$R$3:$R$23</c:f>
              <c:numCache>
                <c:formatCode>General</c:formatCode>
                <c:ptCount val="21"/>
                <c:pt idx="0">
                  <c:v>170</c:v>
                </c:pt>
                <c:pt idx="1">
                  <c:v>170</c:v>
                </c:pt>
                <c:pt idx="2">
                  <c:v>170</c:v>
                </c:pt>
                <c:pt idx="3">
                  <c:v>170</c:v>
                </c:pt>
                <c:pt idx="4">
                  <c:v>205</c:v>
                </c:pt>
                <c:pt idx="5">
                  <c:v>205</c:v>
                </c:pt>
                <c:pt idx="6">
                  <c:v>205</c:v>
                </c:pt>
                <c:pt idx="7">
                  <c:v>205</c:v>
                </c:pt>
                <c:pt idx="8">
                  <c:v>270</c:v>
                </c:pt>
                <c:pt idx="9">
                  <c:v>270</c:v>
                </c:pt>
                <c:pt idx="10">
                  <c:v>240</c:v>
                </c:pt>
                <c:pt idx="11">
                  <c:v>240</c:v>
                </c:pt>
                <c:pt idx="12">
                  <c:v>285</c:v>
                </c:pt>
                <c:pt idx="13">
                  <c:v>285</c:v>
                </c:pt>
                <c:pt idx="14">
                  <c:v>180</c:v>
                </c:pt>
                <c:pt idx="15">
                  <c:v>180</c:v>
                </c:pt>
                <c:pt idx="16">
                  <c:v>180</c:v>
                </c:pt>
                <c:pt idx="17">
                  <c:v>180</c:v>
                </c:pt>
                <c:pt idx="18">
                  <c:v>215</c:v>
                </c:pt>
                <c:pt idx="19">
                  <c:v>215</c:v>
                </c:pt>
                <c:pt idx="20">
                  <c:v>215</c:v>
                </c:pt>
              </c:numCache>
            </c:numRef>
          </c:yVal>
          <c:smooth val="0"/>
        </c:ser>
        <c:dLbls>
          <c:showLegendKey val="0"/>
          <c:showVal val="0"/>
          <c:showCatName val="0"/>
          <c:showSerName val="0"/>
          <c:showPercent val="0"/>
          <c:showBubbleSize val="0"/>
        </c:dLbls>
        <c:axId val="318983816"/>
        <c:axId val="318979112"/>
      </c:scatterChart>
      <c:valAx>
        <c:axId val="318983816"/>
        <c:scaling>
          <c:orientation val="minMax"/>
          <c:max val="2035"/>
        </c:scaling>
        <c:delete val="0"/>
        <c:axPos val="b"/>
        <c:numFmt formatCode="General" sourceLinked="1"/>
        <c:majorTickMark val="out"/>
        <c:minorTickMark val="none"/>
        <c:tickLblPos val="nextTo"/>
        <c:spPr>
          <a:ln w="12700">
            <a:solidFill>
              <a:srgbClr val="BFBFBF"/>
            </a:solidFill>
            <a:prstDash val="solid"/>
          </a:ln>
        </c:spPr>
        <c:txPr>
          <a:bodyPr rot="0" vert="horz"/>
          <a:lstStyle/>
          <a:p>
            <a:pPr>
              <a:defRPr sz="1050" b="0" i="0" u="none" strike="noStrike" baseline="0">
                <a:solidFill>
                  <a:srgbClr val="000000"/>
                </a:solidFill>
                <a:latin typeface="Calibri"/>
                <a:ea typeface="Calibri"/>
                <a:cs typeface="Calibri"/>
              </a:defRPr>
            </a:pPr>
            <a:endParaRPr lang="fr-FR"/>
          </a:p>
        </c:txPr>
        <c:crossAx val="318979112"/>
        <c:crossesAt val="150"/>
        <c:crossBetween val="midCat"/>
      </c:valAx>
      <c:valAx>
        <c:axId val="318979112"/>
        <c:scaling>
          <c:orientation val="minMax"/>
          <c:max val="325"/>
          <c:min val="160"/>
        </c:scaling>
        <c:delete val="0"/>
        <c:axPos val="l"/>
        <c:majorGridlines>
          <c:spPr>
            <a:ln w="12700">
              <a:solidFill>
                <a:srgbClr val="D9D9D9"/>
              </a:solidFill>
              <a:prstDash val="solid"/>
            </a:ln>
          </c:spPr>
        </c:majorGridlines>
        <c:title>
          <c:tx>
            <c:rich>
              <a:bodyPr/>
              <a:lstStyle/>
              <a:p>
                <a:pPr>
                  <a:defRPr sz="1200" b="0" i="0" u="none" strike="noStrike" baseline="0">
                    <a:solidFill>
                      <a:srgbClr val="000000"/>
                    </a:solidFill>
                    <a:latin typeface="+mn-lt"/>
                    <a:ea typeface="Calibri"/>
                    <a:cs typeface="Calibri"/>
                  </a:defRPr>
                </a:pPr>
                <a:r>
                  <a:rPr lang="fr-FR">
                    <a:latin typeface="+mn-lt"/>
                  </a:rPr>
                  <a:t>Coefficients</a:t>
                </a:r>
              </a:p>
            </c:rich>
          </c:tx>
          <c:layout>
            <c:manualLayout>
              <c:xMode val="edge"/>
              <c:yMode val="edge"/>
              <c:x val="3.0423797025371799E-3"/>
              <c:y val="0.336814477137726"/>
            </c:manualLayout>
          </c:layout>
          <c:overlay val="0"/>
          <c:spPr>
            <a:noFill/>
            <a:ln w="25400">
              <a:noFill/>
            </a:ln>
          </c:spPr>
        </c:title>
        <c:numFmt formatCode="General" sourceLinked="1"/>
        <c:majorTickMark val="none"/>
        <c:minorTickMark val="none"/>
        <c:tickLblPos val="nextTo"/>
        <c:spPr>
          <a:ln w="12700">
            <a:solidFill>
              <a:srgbClr val="BFBFBF"/>
            </a:solidFill>
            <a:prstDash val="solid"/>
          </a:ln>
        </c:spPr>
        <c:txPr>
          <a:bodyPr rot="0" vert="horz"/>
          <a:lstStyle/>
          <a:p>
            <a:pPr>
              <a:defRPr sz="1050" b="0" i="0" u="none" strike="noStrike" baseline="0">
                <a:solidFill>
                  <a:srgbClr val="000000"/>
                </a:solidFill>
                <a:latin typeface="Calibri"/>
                <a:ea typeface="Calibri"/>
                <a:cs typeface="Calibri"/>
              </a:defRPr>
            </a:pPr>
            <a:endParaRPr lang="fr-FR"/>
          </a:p>
        </c:txPr>
        <c:crossAx val="318983816"/>
        <c:crossesAt val="0"/>
        <c:crossBetween val="midCat"/>
      </c:valAx>
      <c:spPr>
        <a:noFill/>
        <a:ln w="25400">
          <a:noFill/>
        </a:ln>
      </c:spPr>
    </c:plotArea>
    <c:plotVisOnly val="1"/>
    <c:dispBlanksAs val="gap"/>
    <c:showDLblsOverMax val="0"/>
  </c:chart>
  <c:spPr>
    <a:solidFill>
      <a:srgbClr val="FFFFFF"/>
    </a:solidFill>
    <a:ln w="12700">
      <a:noFill/>
      <a:prstDash val="solid"/>
    </a:ln>
  </c:spPr>
  <c:txPr>
    <a:bodyPr/>
    <a:lstStyle/>
    <a:p>
      <a:pPr>
        <a:defRPr sz="1000" b="0" i="0" u="none" strike="noStrike" baseline="0">
          <a:solidFill>
            <a:srgbClr val="000000"/>
          </a:solidFill>
          <a:latin typeface="Arial"/>
          <a:ea typeface="Arial"/>
          <a:cs typeface="Arial"/>
        </a:defRPr>
      </a:pPr>
      <a:endParaRPr lang="fr-F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531</Words>
  <Characters>2923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BIDEAU-LAVILLE</dc:creator>
  <cp:keywords/>
  <dc:description/>
  <cp:lastModifiedBy>CGT</cp:lastModifiedBy>
  <cp:revision>4</cp:revision>
  <cp:lastPrinted>2021-04-29T06:15:00Z</cp:lastPrinted>
  <dcterms:created xsi:type="dcterms:W3CDTF">2021-06-03T08:01:00Z</dcterms:created>
  <dcterms:modified xsi:type="dcterms:W3CDTF">2021-06-03T08:43:00Z</dcterms:modified>
</cp:coreProperties>
</file>