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86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174319" w:rsidTr="00174319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2000" w:type="dxa"/>
            <w:shd w:val="clear" w:color="auto" w:fill="FF0000"/>
          </w:tcPr>
          <w:p w:rsidR="00174319" w:rsidRDefault="00174319" w:rsidP="00174319">
            <w:pPr>
              <w:pStyle w:val="Titre"/>
              <w:ind w:left="-142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proofErr w:type="gramEnd"/>
          </w:p>
          <w:tbl>
            <w:tblPr>
              <w:tblW w:w="1849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9"/>
            </w:tblGrid>
            <w:tr w:rsidR="00174319" w:rsidTr="00174319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319" w:rsidRDefault="00174319" w:rsidP="00174319">
                  <w:pPr>
                    <w:pStyle w:val="Titre"/>
                    <w:framePr w:hSpace="141" w:wrap="around" w:vAnchor="text" w:hAnchor="page" w:x="486" w:y="-14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:rsidR="00174319" w:rsidRPr="00E67245" w:rsidRDefault="00174319" w:rsidP="00174319">
            <w:pPr>
              <w:jc w:val="right"/>
              <w:rPr>
                <w:color w:val="FFFFFF"/>
              </w:rPr>
            </w:pPr>
            <w:r w:rsidRPr="00E67245">
              <w:rPr>
                <w:color w:val="FFFFFF"/>
              </w:rPr>
              <w:t>Dassault Martignas</w:t>
            </w:r>
          </w:p>
        </w:tc>
      </w:tr>
    </w:tbl>
    <w:tbl>
      <w:tblPr>
        <w:tblStyle w:val="TableGrid"/>
        <w:tblW w:w="11133" w:type="dxa"/>
        <w:tblInd w:w="1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1015"/>
      </w:tblGrid>
      <w:tr w:rsidR="00DA3975" w:rsidTr="00E3767F">
        <w:trPr>
          <w:trHeight w:val="104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DA3975" w:rsidRDefault="00DA3975">
            <w:pPr>
              <w:spacing w:after="0"/>
            </w:pPr>
          </w:p>
          <w:p w:rsidR="00174319" w:rsidRDefault="00174319">
            <w:pPr>
              <w:spacing w:after="0"/>
            </w:pPr>
          </w:p>
        </w:tc>
        <w:tc>
          <w:tcPr>
            <w:tcW w:w="11015" w:type="dxa"/>
            <w:tcBorders>
              <w:top w:val="nil"/>
              <w:left w:val="nil"/>
              <w:bottom w:val="nil"/>
              <w:right w:val="nil"/>
            </w:tcBorders>
          </w:tcPr>
          <w:p w:rsidR="00DA3975" w:rsidRDefault="00DA3975">
            <w:pPr>
              <w:spacing w:after="0"/>
              <w:ind w:left="-2550" w:right="11015"/>
            </w:pPr>
          </w:p>
          <w:p w:rsidR="00174319" w:rsidRDefault="00174319" w:rsidP="00174319">
            <w:pPr>
              <w:tabs>
                <w:tab w:val="center" w:pos="1040"/>
                <w:tab w:val="center" w:pos="10917"/>
              </w:tabs>
              <w:spacing w:after="1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Demain vendredi, quatrième après-midi de protestation, marquera le premier mois de notre mouvement social sur tous les sites. Mais la </w:t>
            </w:r>
            <w:r w:rsidR="00E3767F">
              <w:rPr>
                <w:rFonts w:ascii="Times New Roman" w:eastAsia="Times New Roman" w:hAnsi="Times New Roman" w:cs="Times New Roman"/>
                <w:sz w:val="28"/>
              </w:rPr>
              <w:t>DG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persiste dans l’ignorance de notre mouvement, tentant vainement un apaisement paternaliste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A3975" w:rsidRDefault="00DA3975"/>
        </w:tc>
      </w:tr>
    </w:tbl>
    <w:tbl>
      <w:tblPr>
        <w:tblStyle w:val="TableGrid"/>
        <w:tblpPr w:leftFromText="141" w:rightFromText="141" w:vertAnchor="text" w:horzAnchor="margin" w:tblpXSpec="right" w:tblpY="-3831"/>
        <w:tblOverlap w:val="never"/>
        <w:tblW w:w="8492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92"/>
      </w:tblGrid>
      <w:tr w:rsidR="00174319" w:rsidTr="00174319">
        <w:trPr>
          <w:trHeight w:val="1299"/>
        </w:trPr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19" w:rsidRDefault="00174319" w:rsidP="001743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48"/>
              </w:rPr>
              <w:t xml:space="preserve">Salaires 2021 </w:t>
            </w:r>
          </w:p>
          <w:p w:rsidR="00174319" w:rsidRDefault="00174319" w:rsidP="00174319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C’est encore et toujours la crise ! </w:t>
            </w:r>
          </w:p>
        </w:tc>
      </w:tr>
    </w:tbl>
    <w:p w:rsidR="00DA3975" w:rsidRDefault="00FC4A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0" w:lineRule="auto"/>
        <w:ind w:left="11" w:right="1" w:hanging="10"/>
        <w:jc w:val="center"/>
      </w:pPr>
      <w:r>
        <w:rPr>
          <w:rFonts w:ascii="Arial" w:eastAsia="Arial" w:hAnsi="Arial" w:cs="Arial"/>
          <w:b/>
          <w:sz w:val="32"/>
        </w:rPr>
        <w:t>Le PDG a rejeté catégoriquement notre demande de réouverture des négociations salariale</w:t>
      </w:r>
      <w:r w:rsidR="00240894">
        <w:rPr>
          <w:rFonts w:ascii="Arial" w:eastAsia="Arial" w:hAnsi="Arial" w:cs="Arial"/>
          <w:b/>
          <w:sz w:val="32"/>
        </w:rPr>
        <w:t>s</w:t>
      </w:r>
      <w:r>
        <w:rPr>
          <w:rFonts w:ascii="Arial" w:eastAsia="Arial" w:hAnsi="Arial" w:cs="Arial"/>
          <w:b/>
          <w:sz w:val="32"/>
        </w:rPr>
        <w:t xml:space="preserve">, en invoquant, </w:t>
      </w:r>
    </w:p>
    <w:p w:rsidR="00DA3975" w:rsidRDefault="00FC4A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/>
        <w:ind w:left="1" w:right="1"/>
        <w:jc w:val="center"/>
      </w:pPr>
      <w:r>
        <w:rPr>
          <w:rFonts w:ascii="Arial" w:eastAsia="Arial" w:hAnsi="Arial" w:cs="Arial"/>
          <w:b/>
          <w:sz w:val="32"/>
        </w:rPr>
        <w:t xml:space="preserve">« </w:t>
      </w:r>
      <w:proofErr w:type="gramStart"/>
      <w:r>
        <w:rPr>
          <w:rFonts w:ascii="Arial" w:eastAsia="Arial" w:hAnsi="Arial" w:cs="Arial"/>
          <w:b/>
          <w:i/>
          <w:sz w:val="32"/>
        </w:rPr>
        <w:t>la</w:t>
      </w:r>
      <w:proofErr w:type="gramEnd"/>
      <w:r>
        <w:rPr>
          <w:rFonts w:ascii="Arial" w:eastAsia="Arial" w:hAnsi="Arial" w:cs="Arial"/>
          <w:b/>
          <w:i/>
          <w:sz w:val="32"/>
        </w:rPr>
        <w:t xml:space="preserve"> crise économique incontestable et </w:t>
      </w:r>
      <w:r>
        <w:rPr>
          <w:rFonts w:ascii="Arial" w:eastAsia="Arial" w:hAnsi="Arial" w:cs="Arial"/>
          <w:b/>
          <w:i/>
          <w:sz w:val="32"/>
        </w:rPr>
        <w:t xml:space="preserve">radicale de 2020 </w:t>
      </w:r>
      <w:r>
        <w:rPr>
          <w:rFonts w:ascii="Arial" w:eastAsia="Arial" w:hAnsi="Arial" w:cs="Arial"/>
          <w:b/>
          <w:sz w:val="32"/>
        </w:rPr>
        <w:t xml:space="preserve">». </w:t>
      </w:r>
    </w:p>
    <w:p w:rsidR="00DA3975" w:rsidRDefault="00FC4A9F">
      <w:pPr>
        <w:spacing w:after="0" w:line="260" w:lineRule="auto"/>
        <w:ind w:left="2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Cependant, cette crise «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incontestable et radicale </w:t>
      </w:r>
      <w:r>
        <w:rPr>
          <w:rFonts w:ascii="Times New Roman" w:eastAsia="Times New Roman" w:hAnsi="Times New Roman" w:cs="Times New Roman"/>
          <w:sz w:val="28"/>
        </w:rPr>
        <w:t>» n’a pas touché notre entreprise si durement qu’annoncé,</w:t>
      </w:r>
      <w:r>
        <w:rPr>
          <w:rFonts w:ascii="Times New Roman" w:eastAsia="Times New Roman" w:hAnsi="Times New Roman" w:cs="Times New Roman"/>
          <w:color w:val="C00000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puisqu’elle a malgré tout dégagé un bénéfice de 400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millions d’Euros, bénéfice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supérieur à celui des exercices 2015 et 2016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A3975" w:rsidRDefault="00FC4A9F">
      <w:pPr>
        <w:spacing w:after="240"/>
      </w:pPr>
      <w:r>
        <w:rPr>
          <w:rFonts w:ascii="Arial" w:eastAsia="Arial" w:hAnsi="Arial" w:cs="Arial"/>
          <w:sz w:val="12"/>
        </w:rPr>
        <w:t xml:space="preserve"> </w:t>
      </w:r>
    </w:p>
    <w:p w:rsidR="00DA3975" w:rsidRDefault="00FC4A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50" w:lineRule="auto"/>
        <w:ind w:left="704" w:right="700" w:hanging="10"/>
        <w:jc w:val="center"/>
      </w:pPr>
      <w:r>
        <w:rPr>
          <w:rFonts w:ascii="Arial" w:eastAsia="Arial" w:hAnsi="Arial" w:cs="Arial"/>
          <w:b/>
          <w:sz w:val="32"/>
        </w:rPr>
        <w:t>Par ailleurs, la consultation d</w:t>
      </w:r>
      <w:r w:rsidR="00240894">
        <w:rPr>
          <w:rFonts w:ascii="Arial" w:eastAsia="Arial" w:hAnsi="Arial" w:cs="Arial"/>
          <w:b/>
          <w:sz w:val="32"/>
        </w:rPr>
        <w:t>es bilans sociaux nous permet</w:t>
      </w:r>
      <w:r>
        <w:rPr>
          <w:rFonts w:ascii="Arial" w:eastAsia="Arial" w:hAnsi="Arial" w:cs="Arial"/>
          <w:b/>
          <w:sz w:val="32"/>
        </w:rPr>
        <w:t xml:space="preserve"> de constater, qu’entre 2015 et 2020, les revenus de notre PDG et de son adjoint ont doublé. </w:t>
      </w:r>
    </w:p>
    <w:p w:rsidR="00DA3975" w:rsidRDefault="00FC4A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6" w:line="250" w:lineRule="auto"/>
        <w:ind w:left="704" w:right="700" w:hanging="10"/>
        <w:jc w:val="center"/>
      </w:pPr>
      <w:r>
        <w:rPr>
          <w:rFonts w:ascii="Arial" w:eastAsia="Arial" w:hAnsi="Arial" w:cs="Arial"/>
          <w:b/>
          <w:sz w:val="32"/>
        </w:rPr>
        <w:t xml:space="preserve">Ce n’est visiblement pas la crise pour tout le monde ! </w:t>
      </w:r>
    </w:p>
    <w:p w:rsidR="00DA3975" w:rsidRDefault="00DA3975">
      <w:pPr>
        <w:spacing w:after="360"/>
      </w:pPr>
    </w:p>
    <w:p w:rsidR="00684C90" w:rsidRPr="00684C90" w:rsidRDefault="00E3767F" w:rsidP="00E3767F">
      <w:pPr>
        <w:spacing w:after="36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De plus, lors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684C90">
        <w:rPr>
          <w:rFonts w:ascii="Times New Roman" w:hAnsi="Times New Roman" w:cs="Times New Roman"/>
          <w:sz w:val="28"/>
          <w:szCs w:val="28"/>
        </w:rPr>
        <w:t>s passages</w:t>
      </w:r>
      <w:r w:rsidR="00174319">
        <w:rPr>
          <w:rFonts w:ascii="Times New Roman" w:hAnsi="Times New Roman" w:cs="Times New Roman"/>
          <w:sz w:val="28"/>
          <w:szCs w:val="28"/>
        </w:rPr>
        <w:t xml:space="preserve"> de vos élus CGT,</w:t>
      </w:r>
      <w:r w:rsidR="00684C90">
        <w:rPr>
          <w:rFonts w:ascii="Times New Roman" w:hAnsi="Times New Roman" w:cs="Times New Roman"/>
          <w:sz w:val="28"/>
          <w:szCs w:val="28"/>
        </w:rPr>
        <w:t xml:space="preserve"> dans les différents services</w:t>
      </w:r>
      <w:r w:rsidR="00174319">
        <w:rPr>
          <w:rFonts w:ascii="Times New Roman" w:hAnsi="Times New Roman" w:cs="Times New Roman"/>
          <w:sz w:val="28"/>
          <w:szCs w:val="28"/>
        </w:rPr>
        <w:t>,</w:t>
      </w:r>
      <w:r w:rsidR="00684C90">
        <w:rPr>
          <w:rFonts w:ascii="Times New Roman" w:hAnsi="Times New Roman" w:cs="Times New Roman"/>
          <w:sz w:val="28"/>
          <w:szCs w:val="28"/>
        </w:rPr>
        <w:t xml:space="preserve"> pour la collecte des questions au CSE, nous constatons qu’en plus de cette crise de la reconnaissance salaria</w:t>
      </w:r>
      <w:r w:rsidR="00973B6A">
        <w:rPr>
          <w:rFonts w:ascii="Times New Roman" w:hAnsi="Times New Roman" w:cs="Times New Roman"/>
          <w:sz w:val="28"/>
          <w:szCs w:val="28"/>
        </w:rPr>
        <w:t>le viennent</w:t>
      </w:r>
      <w:r w:rsidR="00185929">
        <w:rPr>
          <w:rFonts w:ascii="Times New Roman" w:hAnsi="Times New Roman" w:cs="Times New Roman"/>
          <w:sz w:val="28"/>
          <w:szCs w:val="28"/>
        </w:rPr>
        <w:t xml:space="preserve"> se greffer de plus en plus de</w:t>
      </w:r>
      <w:r w:rsidR="00684C90">
        <w:rPr>
          <w:rFonts w:ascii="Times New Roman" w:hAnsi="Times New Roman" w:cs="Times New Roman"/>
          <w:sz w:val="28"/>
          <w:szCs w:val="28"/>
        </w:rPr>
        <w:t xml:space="preserve"> problématiques de « considérations » et pire encore, de conditions de travail.</w:t>
      </w:r>
    </w:p>
    <w:p w:rsidR="00DA3975" w:rsidRPr="00973B6A" w:rsidRDefault="00FC4A9F" w:rsidP="00973B6A">
      <w:pPr>
        <w:spacing w:after="360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 xml:space="preserve">C’est pourquoi, plus que jamais,  </w:t>
      </w:r>
      <w:r>
        <w:rPr>
          <w:rFonts w:ascii="Arial" w:eastAsia="Arial" w:hAnsi="Arial" w:cs="Arial"/>
          <w:b/>
          <w:sz w:val="40"/>
        </w:rPr>
        <w:t>ce mouvement doit continuer !</w:t>
      </w:r>
    </w:p>
    <w:p w:rsidR="00684C90" w:rsidRDefault="00684C90">
      <w:pPr>
        <w:spacing w:after="0" w:line="240" w:lineRule="auto"/>
        <w:ind w:left="2379" w:right="2142"/>
        <w:jc w:val="center"/>
      </w:pPr>
    </w:p>
    <w:p w:rsidR="00DA3975" w:rsidRDefault="00FC4A9F">
      <w:pPr>
        <w:spacing w:after="0"/>
        <w:ind w:left="28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A3975" w:rsidRDefault="00FC4A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4" w:hanging="10"/>
        <w:jc w:val="center"/>
      </w:pPr>
      <w:r>
        <w:rPr>
          <w:rFonts w:ascii="Verdana" w:eastAsia="Verdana" w:hAnsi="Verdana" w:cs="Verdana"/>
          <w:b/>
          <w:sz w:val="36"/>
        </w:rPr>
        <w:t xml:space="preserve">Nous renouvelons l’opération </w:t>
      </w:r>
    </w:p>
    <w:p w:rsidR="00DA3975" w:rsidRDefault="00FC4A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4"/>
        <w:ind w:left="12" w:right="4" w:hanging="10"/>
        <w:jc w:val="center"/>
      </w:pPr>
      <w:r>
        <w:rPr>
          <w:rFonts w:ascii="Verdana" w:eastAsia="Verdana" w:hAnsi="Verdana" w:cs="Verdana"/>
          <w:b/>
          <w:sz w:val="36"/>
        </w:rPr>
        <w:t xml:space="preserve">« Établissements Vides » ce vendredi 16 AVRIL </w:t>
      </w:r>
    </w:p>
    <w:p w:rsidR="00DA3975" w:rsidRDefault="009A64D5">
      <w:pPr>
        <w:spacing w:after="0"/>
        <w:ind w:left="408" w:hanging="10"/>
      </w:pPr>
      <w:r>
        <w:rPr>
          <w:rFonts w:ascii="Arial" w:eastAsia="Arial" w:hAnsi="Arial" w:cs="Arial"/>
          <w:b/>
        </w:rPr>
        <w:t>Salarié en journée : Grève de 13</w:t>
      </w:r>
      <w:r w:rsidR="00FC4A9F">
        <w:rPr>
          <w:rFonts w:ascii="Arial" w:eastAsia="Arial" w:hAnsi="Arial" w:cs="Arial"/>
          <w:b/>
        </w:rPr>
        <w:t xml:space="preserve">h à 16h </w:t>
      </w:r>
    </w:p>
    <w:p w:rsidR="00DA3975" w:rsidRDefault="009A64D5">
      <w:pPr>
        <w:spacing w:after="0"/>
        <w:ind w:left="408" w:hanging="10"/>
      </w:pPr>
      <w:r>
        <w:rPr>
          <w:rFonts w:ascii="Arial" w:eastAsia="Arial" w:hAnsi="Arial" w:cs="Arial"/>
          <w:b/>
        </w:rPr>
        <w:t>Salarié en équipe : 3</w:t>
      </w:r>
      <w:r w:rsidR="00FC4A9F">
        <w:rPr>
          <w:rFonts w:ascii="Arial" w:eastAsia="Arial" w:hAnsi="Arial" w:cs="Arial"/>
          <w:b/>
        </w:rPr>
        <w:t xml:space="preserve"> h de grève en fin de poste </w:t>
      </w:r>
    </w:p>
    <w:p w:rsidR="00973B6A" w:rsidRPr="00973B6A" w:rsidRDefault="00FC4A9F">
      <w:pPr>
        <w:spacing w:after="40"/>
        <w:ind w:left="40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Pour les cadres  en forf</w:t>
      </w:r>
      <w:r w:rsidR="009A64D5">
        <w:rPr>
          <w:rFonts w:ascii="Arial" w:eastAsia="Arial" w:hAnsi="Arial" w:cs="Arial"/>
          <w:b/>
        </w:rPr>
        <w:t>ait jours : Grève à partir de 13</w:t>
      </w:r>
      <w:r>
        <w:rPr>
          <w:rFonts w:ascii="Arial" w:eastAsia="Arial" w:hAnsi="Arial" w:cs="Arial"/>
          <w:b/>
        </w:rPr>
        <w:t>h.</w:t>
      </w:r>
    </w:p>
    <w:p w:rsidR="00DA3975" w:rsidRDefault="00973B6A">
      <w:pPr>
        <w:spacing w:after="0"/>
        <w:ind w:right="511"/>
        <w:jc w:val="right"/>
      </w:pPr>
      <w:r>
        <w:rPr>
          <w:rFonts w:ascii="Times New Roman" w:eastAsia="Times New Roman" w:hAnsi="Times New Roman" w:cs="Times New Roman"/>
        </w:rPr>
        <w:t xml:space="preserve">          Le 15</w:t>
      </w:r>
      <w:r w:rsidR="00FC4A9F">
        <w:rPr>
          <w:rFonts w:ascii="Times New Roman" w:eastAsia="Times New Roman" w:hAnsi="Times New Roman" w:cs="Times New Roman"/>
        </w:rPr>
        <w:t xml:space="preserve">/04/21 </w:t>
      </w:r>
    </w:p>
    <w:sectPr w:rsidR="00DA3975" w:rsidSect="00174319">
      <w:pgSz w:w="11911" w:h="16841"/>
      <w:pgMar w:top="376" w:right="429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75"/>
    <w:rsid w:val="00174319"/>
    <w:rsid w:val="00185929"/>
    <w:rsid w:val="00240894"/>
    <w:rsid w:val="00684C90"/>
    <w:rsid w:val="00973B6A"/>
    <w:rsid w:val="009A64D5"/>
    <w:rsid w:val="00DA3975"/>
    <w:rsid w:val="00E3767F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D565-CA9F-479D-914A-220D532F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17431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52"/>
      <w:szCs w:val="24"/>
    </w:rPr>
  </w:style>
  <w:style w:type="character" w:customStyle="1" w:styleId="TitreCar">
    <w:name w:val="Titre Car"/>
    <w:basedOn w:val="Policepardfaut"/>
    <w:link w:val="Titre"/>
    <w:rsid w:val="00174319"/>
    <w:rPr>
      <w:rFonts w:ascii="Times New Roman" w:eastAsia="Times New Roman" w:hAnsi="Times New Roman" w:cs="Times New Roman"/>
      <w:sz w:val="5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Salaun Frederic</dc:creator>
  <cp:keywords/>
  <cp:lastModifiedBy>CGT</cp:lastModifiedBy>
  <cp:revision>4</cp:revision>
  <cp:lastPrinted>2021-04-15T08:57:00Z</cp:lastPrinted>
  <dcterms:created xsi:type="dcterms:W3CDTF">2021-04-15T08:36:00Z</dcterms:created>
  <dcterms:modified xsi:type="dcterms:W3CDTF">2021-04-16T08:50:00Z</dcterms:modified>
</cp:coreProperties>
</file>