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800" w:type="pct"/>
        <w:tblInd w:w="-743" w:type="dxa"/>
        <w:tblLook w:val="04A0" w:firstRow="1" w:lastRow="0" w:firstColumn="1" w:lastColumn="0" w:noHBand="0" w:noVBand="1"/>
      </w:tblPr>
      <w:tblGrid>
        <w:gridCol w:w="5247"/>
        <w:gridCol w:w="3400"/>
        <w:gridCol w:w="2127"/>
      </w:tblGrid>
      <w:tr w:rsidR="006474DB" w:rsidRPr="006474DB" w:rsidTr="00894516">
        <w:trPr>
          <w:trHeight w:val="1272"/>
        </w:trPr>
        <w:tc>
          <w:tcPr>
            <w:tcW w:w="5000" w:type="pct"/>
            <w:gridSpan w:val="3"/>
            <w:vAlign w:val="center"/>
          </w:tcPr>
          <w:p w:rsidR="000F3C0A" w:rsidRPr="006474DB" w:rsidRDefault="000F3C0A" w:rsidP="00012BA6">
            <w:pPr>
              <w:jc w:val="center"/>
              <w:rPr>
                <w:b/>
                <w:sz w:val="52"/>
                <w:szCs w:val="52"/>
              </w:rPr>
            </w:pPr>
            <w:r w:rsidRPr="006474DB">
              <w:rPr>
                <w:b/>
                <w:sz w:val="52"/>
                <w:szCs w:val="52"/>
              </w:rPr>
              <w:t>FICHE QUESTION CHS-CT</w:t>
            </w:r>
          </w:p>
        </w:tc>
      </w:tr>
      <w:tr w:rsidR="006474DB" w:rsidRPr="006474DB" w:rsidTr="00894516">
        <w:trPr>
          <w:trHeight w:val="565"/>
        </w:trPr>
        <w:tc>
          <w:tcPr>
            <w:tcW w:w="2435" w:type="pct"/>
            <w:vAlign w:val="center"/>
          </w:tcPr>
          <w:p w:rsidR="00012BA6" w:rsidRPr="00A96024" w:rsidRDefault="00012BA6" w:rsidP="00B36E34">
            <w:r w:rsidRPr="00134245">
              <w:rPr>
                <w:u w:val="single"/>
              </w:rPr>
              <w:t>Date de la visite :</w:t>
            </w:r>
            <w:r w:rsidR="00A96024">
              <w:t xml:space="preserve"> </w:t>
            </w:r>
            <w:r w:rsidR="008021A0">
              <w:t>1</w:t>
            </w:r>
            <w:r w:rsidR="00B36E34">
              <w:t>5</w:t>
            </w:r>
            <w:r w:rsidR="00D428BF">
              <w:t>/0</w:t>
            </w:r>
            <w:r w:rsidR="008021A0">
              <w:t>6</w:t>
            </w:r>
            <w:r w:rsidR="00D428BF">
              <w:t>/2015</w:t>
            </w:r>
          </w:p>
        </w:tc>
        <w:tc>
          <w:tcPr>
            <w:tcW w:w="2565" w:type="pct"/>
            <w:gridSpan w:val="2"/>
            <w:vAlign w:val="center"/>
          </w:tcPr>
          <w:p w:rsidR="00012BA6" w:rsidRPr="00A96024" w:rsidRDefault="00012BA6" w:rsidP="00613E34">
            <w:r w:rsidRPr="00134245">
              <w:rPr>
                <w:u w:val="single"/>
              </w:rPr>
              <w:t>Atelier :</w:t>
            </w:r>
            <w:r w:rsidR="00A96024">
              <w:t xml:space="preserve"> </w:t>
            </w:r>
          </w:p>
        </w:tc>
      </w:tr>
      <w:tr w:rsidR="006474DB" w:rsidRPr="006474DB" w:rsidTr="00894516">
        <w:trPr>
          <w:trHeight w:val="559"/>
        </w:trPr>
        <w:tc>
          <w:tcPr>
            <w:tcW w:w="5000" w:type="pct"/>
            <w:gridSpan w:val="3"/>
            <w:vAlign w:val="center"/>
          </w:tcPr>
          <w:p w:rsidR="00012BA6" w:rsidRPr="005030D5" w:rsidRDefault="00012BA6" w:rsidP="0063144D"/>
        </w:tc>
      </w:tr>
      <w:tr w:rsidR="006474DB" w:rsidRPr="006474DB" w:rsidTr="00810BD3">
        <w:trPr>
          <w:trHeight w:val="2100"/>
        </w:trPr>
        <w:tc>
          <w:tcPr>
            <w:tcW w:w="5000" w:type="pct"/>
            <w:gridSpan w:val="3"/>
          </w:tcPr>
          <w:p w:rsidR="00094407" w:rsidRDefault="00094407" w:rsidP="00094407">
            <w:r>
              <w:t>Lors du CHSCT du 20 avril le président s’était exprimé sur  la teneur de la déclaration de la CGT et il ne comprenait pas ce qui posait problème aux élus CHSCT /CGT dans le compte rendu du procès-verbal de la réunion du 24 mars. Les élus CHSCT avaient répondu qu’ils ne trouvaient pas normal qu’à la majorité des membres présents qu’il</w:t>
            </w:r>
            <w:r w:rsidR="00395EFB">
              <w:t>s</w:t>
            </w:r>
            <w:r>
              <w:t xml:space="preserve"> représentai</w:t>
            </w:r>
            <w:r w:rsidR="00395EFB">
              <w:t>en</w:t>
            </w:r>
            <w:bookmarkStart w:id="0" w:name="_GoBack"/>
            <w:bookmarkEnd w:id="0"/>
            <w:r>
              <w:t>t le jour du vote (le 24 mars) sur leur résolution pour expertise risque grave, le PV retranscrivait un intitulé tout autre : « expertise ARP »</w:t>
            </w:r>
          </w:p>
          <w:p w:rsidR="007D744F" w:rsidRPr="0063144D" w:rsidRDefault="007D744F" w:rsidP="0063144D"/>
        </w:tc>
      </w:tr>
      <w:tr w:rsidR="006474DB" w:rsidRPr="006474DB" w:rsidTr="00A96024">
        <w:trPr>
          <w:trHeight w:val="6369"/>
        </w:trPr>
        <w:tc>
          <w:tcPr>
            <w:tcW w:w="5000" w:type="pct"/>
            <w:gridSpan w:val="3"/>
          </w:tcPr>
          <w:p w:rsidR="007F0785" w:rsidRPr="006474DB" w:rsidRDefault="007F0785" w:rsidP="00012BA6"/>
          <w:p w:rsidR="00171F5C" w:rsidRDefault="00171F5C" w:rsidP="00171F5C">
            <w:pPr>
              <w:jc w:val="center"/>
              <w:rPr>
                <w:u w:val="single"/>
              </w:rPr>
            </w:pPr>
          </w:p>
          <w:p w:rsidR="00171F5C" w:rsidRDefault="00171F5C" w:rsidP="00171F5C">
            <w:pPr>
              <w:jc w:val="center"/>
            </w:pPr>
          </w:p>
          <w:p w:rsidR="00656721" w:rsidRDefault="00656721" w:rsidP="00171F5C">
            <w:pPr>
              <w:tabs>
                <w:tab w:val="left" w:pos="2016"/>
              </w:tabs>
              <w:jc w:val="both"/>
            </w:pPr>
          </w:p>
          <w:p w:rsidR="00613E34" w:rsidRDefault="00613E34" w:rsidP="00613E34">
            <w:r>
              <w:t>Le président du CHSCT a été destinataire d’un courrier de l’inspection du travail datant du 18 mai 2015 pour lequel  le syndicat CGT s’interrogeait sur cette situation.</w:t>
            </w:r>
          </w:p>
          <w:p w:rsidR="00613E34" w:rsidRDefault="00613E34" w:rsidP="00613E34">
            <w:r>
              <w:t>Les élus CHSCT/CGT ayant aussi pris acte de courrier réitèrent leur demande de rectifier le compte rendu du PV du 24 mars de telle manière que le vote pour expertise risque grave apparaisse bien de la sorte dans la retranscription de ce PV.</w:t>
            </w:r>
          </w:p>
          <w:p w:rsidR="00656721" w:rsidRPr="00656721" w:rsidRDefault="00656721" w:rsidP="00656721"/>
          <w:p w:rsidR="00656721" w:rsidRDefault="00656721" w:rsidP="00656721"/>
          <w:p w:rsidR="00656721" w:rsidRDefault="00656721" w:rsidP="00656721"/>
          <w:p w:rsidR="00656721" w:rsidRDefault="00656721" w:rsidP="00656721"/>
          <w:p w:rsidR="00810BD3" w:rsidRPr="00656721" w:rsidRDefault="00656721" w:rsidP="00656721">
            <w:pPr>
              <w:tabs>
                <w:tab w:val="left" w:pos="960"/>
                <w:tab w:val="left" w:pos="4430"/>
              </w:tabs>
            </w:pPr>
            <w:r>
              <w:tab/>
            </w:r>
            <w:r>
              <w:tab/>
            </w:r>
          </w:p>
        </w:tc>
      </w:tr>
      <w:tr w:rsidR="00810BD3" w:rsidRPr="006474DB" w:rsidTr="00A96024">
        <w:trPr>
          <w:trHeight w:val="1272"/>
        </w:trPr>
        <w:tc>
          <w:tcPr>
            <w:tcW w:w="5000" w:type="pct"/>
            <w:gridSpan w:val="3"/>
          </w:tcPr>
          <w:p w:rsidR="006543A7" w:rsidRPr="006474DB" w:rsidRDefault="00810BD3" w:rsidP="0063144D">
            <w:r w:rsidRPr="00134245">
              <w:rPr>
                <w:u w:val="single"/>
              </w:rPr>
              <w:t>Mesures de prévention proposées :</w:t>
            </w:r>
            <w:r w:rsidR="00A96024">
              <w:t xml:space="preserve"> </w:t>
            </w:r>
          </w:p>
        </w:tc>
      </w:tr>
      <w:tr w:rsidR="00213082" w:rsidRPr="006474DB" w:rsidTr="00114301">
        <w:trPr>
          <w:trHeight w:val="2242"/>
        </w:trPr>
        <w:tc>
          <w:tcPr>
            <w:tcW w:w="4013" w:type="pct"/>
            <w:gridSpan w:val="2"/>
          </w:tcPr>
          <w:p w:rsidR="00213082" w:rsidRPr="00767D69" w:rsidRDefault="00E559B3" w:rsidP="00F25369">
            <w:r>
              <w:rPr>
                <w:u w:val="single"/>
              </w:rPr>
              <w:t>Actions  direction</w:t>
            </w:r>
            <w:r w:rsidR="00810BD3">
              <w:rPr>
                <w:u w:val="single"/>
              </w:rPr>
              <w:t> :</w:t>
            </w:r>
          </w:p>
        </w:tc>
        <w:tc>
          <w:tcPr>
            <w:tcW w:w="987" w:type="pct"/>
          </w:tcPr>
          <w:p w:rsidR="00213082" w:rsidRDefault="00213082" w:rsidP="00012BA6">
            <w:pPr>
              <w:rPr>
                <w:u w:val="single"/>
              </w:rPr>
            </w:pPr>
          </w:p>
          <w:p w:rsidR="001D6601" w:rsidRDefault="001D6601" w:rsidP="001D6601">
            <w:pPr>
              <w:jc w:val="center"/>
              <w:rPr>
                <w:b/>
              </w:rPr>
            </w:pPr>
            <w:r>
              <w:rPr>
                <w:b/>
              </w:rPr>
              <w:t>AC</w:t>
            </w:r>
          </w:p>
          <w:p w:rsidR="001D6601" w:rsidRDefault="001D6601" w:rsidP="001D6601">
            <w:pPr>
              <w:jc w:val="center"/>
              <w:rPr>
                <w:b/>
              </w:rPr>
            </w:pPr>
          </w:p>
          <w:p w:rsidR="001D6601" w:rsidRDefault="001D6601" w:rsidP="001D6601">
            <w:pPr>
              <w:jc w:val="center"/>
              <w:rPr>
                <w:b/>
              </w:rPr>
            </w:pPr>
            <w:r>
              <w:rPr>
                <w:b/>
              </w:rPr>
              <w:t>AS</w:t>
            </w:r>
          </w:p>
          <w:p w:rsidR="001D6601" w:rsidRDefault="001D6601" w:rsidP="001D6601">
            <w:pPr>
              <w:jc w:val="center"/>
              <w:rPr>
                <w:b/>
              </w:rPr>
            </w:pPr>
          </w:p>
          <w:p w:rsidR="001D6601" w:rsidRDefault="001D6601" w:rsidP="001D6601">
            <w:pPr>
              <w:jc w:val="center"/>
              <w:rPr>
                <w:b/>
              </w:rPr>
            </w:pPr>
          </w:p>
          <w:p w:rsidR="002126F7" w:rsidRPr="00134245" w:rsidRDefault="001D6601" w:rsidP="001D6601">
            <w:pPr>
              <w:rPr>
                <w:u w:val="single"/>
              </w:rPr>
            </w:pPr>
            <w:r>
              <w:rPr>
                <w:b/>
                <w:u w:val="single"/>
              </w:rPr>
              <w:t>Délai :</w:t>
            </w:r>
          </w:p>
        </w:tc>
      </w:tr>
    </w:tbl>
    <w:p w:rsidR="00114301" w:rsidRPr="006474DB" w:rsidRDefault="00114301" w:rsidP="00114301"/>
    <w:sectPr w:rsidR="00114301" w:rsidRPr="006474DB" w:rsidSect="008945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82" w:rsidRDefault="00F17582" w:rsidP="00171F5C">
      <w:pPr>
        <w:spacing w:after="0" w:line="240" w:lineRule="auto"/>
      </w:pPr>
      <w:r>
        <w:separator/>
      </w:r>
    </w:p>
  </w:endnote>
  <w:endnote w:type="continuationSeparator" w:id="0">
    <w:p w:rsidR="00F17582" w:rsidRDefault="00F17582" w:rsidP="001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82" w:rsidRDefault="00F17582" w:rsidP="00171F5C">
      <w:pPr>
        <w:spacing w:after="0" w:line="240" w:lineRule="auto"/>
      </w:pPr>
      <w:r>
        <w:separator/>
      </w:r>
    </w:p>
  </w:footnote>
  <w:footnote w:type="continuationSeparator" w:id="0">
    <w:p w:rsidR="00F17582" w:rsidRDefault="00F17582" w:rsidP="0017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322"/>
    <w:rsid w:val="00012BA6"/>
    <w:rsid w:val="00032E24"/>
    <w:rsid w:val="00053FE0"/>
    <w:rsid w:val="00094407"/>
    <w:rsid w:val="000A6833"/>
    <w:rsid w:val="000D68DA"/>
    <w:rsid w:val="000F3C0A"/>
    <w:rsid w:val="00102560"/>
    <w:rsid w:val="00114301"/>
    <w:rsid w:val="00134245"/>
    <w:rsid w:val="00146AC6"/>
    <w:rsid w:val="00164CE4"/>
    <w:rsid w:val="00171F5C"/>
    <w:rsid w:val="00184322"/>
    <w:rsid w:val="001D6601"/>
    <w:rsid w:val="001E4F11"/>
    <w:rsid w:val="002126F7"/>
    <w:rsid w:val="00213082"/>
    <w:rsid w:val="0028263D"/>
    <w:rsid w:val="002F5A6C"/>
    <w:rsid w:val="00305A67"/>
    <w:rsid w:val="00395EFB"/>
    <w:rsid w:val="003A7962"/>
    <w:rsid w:val="00432A8A"/>
    <w:rsid w:val="0043621E"/>
    <w:rsid w:val="00477D28"/>
    <w:rsid w:val="005030D5"/>
    <w:rsid w:val="005131A8"/>
    <w:rsid w:val="00543C99"/>
    <w:rsid w:val="00573A4D"/>
    <w:rsid w:val="005D52BE"/>
    <w:rsid w:val="00613E34"/>
    <w:rsid w:val="006217F9"/>
    <w:rsid w:val="0063144D"/>
    <w:rsid w:val="00642EB5"/>
    <w:rsid w:val="006433FB"/>
    <w:rsid w:val="006474DB"/>
    <w:rsid w:val="006543A7"/>
    <w:rsid w:val="00656721"/>
    <w:rsid w:val="00662CB1"/>
    <w:rsid w:val="00684DF6"/>
    <w:rsid w:val="006C5850"/>
    <w:rsid w:val="00767D69"/>
    <w:rsid w:val="007D744F"/>
    <w:rsid w:val="007E28A2"/>
    <w:rsid w:val="007F0785"/>
    <w:rsid w:val="008021A0"/>
    <w:rsid w:val="00810BD3"/>
    <w:rsid w:val="00862984"/>
    <w:rsid w:val="00894516"/>
    <w:rsid w:val="008C2758"/>
    <w:rsid w:val="009C7A45"/>
    <w:rsid w:val="00A4221E"/>
    <w:rsid w:val="00A86077"/>
    <w:rsid w:val="00A96024"/>
    <w:rsid w:val="00AD5FD0"/>
    <w:rsid w:val="00B36E34"/>
    <w:rsid w:val="00B60BA1"/>
    <w:rsid w:val="00B92B93"/>
    <w:rsid w:val="00C03124"/>
    <w:rsid w:val="00C21563"/>
    <w:rsid w:val="00C74C32"/>
    <w:rsid w:val="00CC4CDF"/>
    <w:rsid w:val="00CD7DE3"/>
    <w:rsid w:val="00D2685F"/>
    <w:rsid w:val="00D428BF"/>
    <w:rsid w:val="00E559B3"/>
    <w:rsid w:val="00EA7C14"/>
    <w:rsid w:val="00ED6BDB"/>
    <w:rsid w:val="00F17582"/>
    <w:rsid w:val="00F25369"/>
    <w:rsid w:val="00F97ACC"/>
    <w:rsid w:val="00FD75F5"/>
    <w:rsid w:val="00FF7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DFD74-0979-4E28-B062-E4803514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F5C"/>
    <w:rPr>
      <w:rFonts w:ascii="Tahoma" w:hAnsi="Tahoma" w:cs="Tahoma"/>
      <w:sz w:val="16"/>
      <w:szCs w:val="16"/>
    </w:rPr>
  </w:style>
  <w:style w:type="paragraph" w:styleId="En-tte">
    <w:name w:val="header"/>
    <w:basedOn w:val="Normal"/>
    <w:link w:val="En-tteCar"/>
    <w:uiPriority w:val="99"/>
    <w:unhideWhenUsed/>
    <w:rsid w:val="00171F5C"/>
    <w:pPr>
      <w:tabs>
        <w:tab w:val="center" w:pos="4536"/>
        <w:tab w:val="right" w:pos="9072"/>
      </w:tabs>
      <w:spacing w:after="0" w:line="240" w:lineRule="auto"/>
    </w:pPr>
  </w:style>
  <w:style w:type="character" w:customStyle="1" w:styleId="En-tteCar">
    <w:name w:val="En-tête Car"/>
    <w:basedOn w:val="Policepardfaut"/>
    <w:link w:val="En-tte"/>
    <w:uiPriority w:val="99"/>
    <w:rsid w:val="00171F5C"/>
  </w:style>
  <w:style w:type="paragraph" w:styleId="Pieddepage">
    <w:name w:val="footer"/>
    <w:basedOn w:val="Normal"/>
    <w:link w:val="PieddepageCar"/>
    <w:uiPriority w:val="99"/>
    <w:unhideWhenUsed/>
    <w:rsid w:val="00171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70BB-0B8A-4321-BCE1-7505A3E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DASSAULT MERIGNAC</dc:creator>
  <cp:lastModifiedBy>Robinson</cp:lastModifiedBy>
  <cp:revision>6</cp:revision>
  <cp:lastPrinted>2014-09-22T13:31:00Z</cp:lastPrinted>
  <dcterms:created xsi:type="dcterms:W3CDTF">2015-06-11T23:46:00Z</dcterms:created>
  <dcterms:modified xsi:type="dcterms:W3CDTF">2015-06-14T22:01:00Z</dcterms:modified>
</cp:coreProperties>
</file>